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AF414" w14:textId="4144228D" w:rsidR="00841C73" w:rsidRPr="008D2AD6" w:rsidRDefault="00841C73" w:rsidP="00841C73">
      <w:pPr>
        <w:pStyle w:val="Heading1"/>
        <w:rPr>
          <w:b w:val="0"/>
          <w:szCs w:val="20"/>
        </w:rPr>
      </w:pPr>
      <w:r w:rsidRPr="008D2AD6">
        <w:rPr>
          <w:rFonts w:ascii="Times New Roman" w:hAnsi="Times New Roman"/>
          <w:sz w:val="20"/>
          <w:szCs w:val="20"/>
        </w:rPr>
        <w:t xml:space="preserve">AMENDMENT </w:t>
      </w:r>
      <w:r>
        <w:rPr>
          <w:rFonts w:ascii="Times New Roman" w:hAnsi="Times New Roman"/>
          <w:sz w:val="20"/>
          <w:szCs w:val="20"/>
        </w:rPr>
        <w:t>REGARDING HARDSHIP DISTRIBUTIONS IN OTHER PLANS</w:t>
      </w:r>
    </w:p>
    <w:p w14:paraId="09224EA7" w14:textId="557819D6" w:rsidR="00841C73" w:rsidRPr="008D2AD6" w:rsidRDefault="00841C73" w:rsidP="00841C73">
      <w:pPr>
        <w:jc w:val="center"/>
        <w:rPr>
          <w:b/>
          <w:szCs w:val="20"/>
        </w:rPr>
      </w:pPr>
    </w:p>
    <w:p w14:paraId="043016AB" w14:textId="77777777" w:rsidR="00841C73" w:rsidRPr="008D2AD6" w:rsidRDefault="00841C73" w:rsidP="00841C73">
      <w:pPr>
        <w:jc w:val="both"/>
        <w:rPr>
          <w:bCs/>
          <w:szCs w:val="20"/>
        </w:rPr>
      </w:pPr>
    </w:p>
    <w:p w14:paraId="43E241DD" w14:textId="77777777" w:rsidR="00841C73" w:rsidRPr="008D2AD6" w:rsidRDefault="00841C73" w:rsidP="00841C73">
      <w:pPr>
        <w:jc w:val="center"/>
        <w:rPr>
          <w:b/>
          <w:bCs/>
          <w:szCs w:val="20"/>
        </w:rPr>
      </w:pPr>
      <w:r w:rsidRPr="008D2AD6">
        <w:rPr>
          <w:b/>
          <w:bCs/>
          <w:szCs w:val="20"/>
        </w:rPr>
        <w:t>ARTICLE I</w:t>
      </w:r>
    </w:p>
    <w:p w14:paraId="5A058769" w14:textId="77777777" w:rsidR="00841C73" w:rsidRPr="008D2AD6" w:rsidRDefault="00841C73" w:rsidP="00841C73">
      <w:pPr>
        <w:jc w:val="center"/>
        <w:rPr>
          <w:b/>
          <w:bCs/>
          <w:szCs w:val="20"/>
        </w:rPr>
      </w:pPr>
      <w:r w:rsidRPr="008D2AD6">
        <w:rPr>
          <w:b/>
          <w:bCs/>
          <w:szCs w:val="20"/>
        </w:rPr>
        <w:t>PREAMBLE</w:t>
      </w:r>
    </w:p>
    <w:p w14:paraId="2128B5F7" w14:textId="77777777" w:rsidR="00841C73" w:rsidRPr="008D2AD6" w:rsidRDefault="00841C73" w:rsidP="00841C73">
      <w:pPr>
        <w:rPr>
          <w:b/>
          <w:bCs/>
          <w:szCs w:val="20"/>
        </w:rPr>
      </w:pPr>
    </w:p>
    <w:p w14:paraId="31D99102" w14:textId="27C7CB87" w:rsidR="00841C73" w:rsidRPr="008D2AD6" w:rsidRDefault="00841C73" w:rsidP="00841C73">
      <w:pPr>
        <w:widowControl/>
        <w:ind w:left="540" w:hanging="540"/>
        <w:rPr>
          <w:bCs/>
          <w:szCs w:val="20"/>
        </w:rPr>
      </w:pPr>
      <w:r w:rsidRPr="008D2AD6">
        <w:rPr>
          <w:szCs w:val="20"/>
        </w:rPr>
        <w:t>1.1</w:t>
      </w:r>
      <w:r w:rsidRPr="008D2AD6">
        <w:rPr>
          <w:szCs w:val="20"/>
        </w:rPr>
        <w:tab/>
      </w:r>
      <w:r w:rsidRPr="008D2AD6">
        <w:rPr>
          <w:b/>
          <w:szCs w:val="20"/>
        </w:rPr>
        <w:t>Adoption and effective date of Amendment</w:t>
      </w:r>
      <w:r w:rsidRPr="008D2AD6">
        <w:rPr>
          <w:szCs w:val="20"/>
        </w:rPr>
        <w:t>. The Document Provider, on behalf of the Employer, hereby adopts this Amendment to the Employer</w:t>
      </w:r>
      <w:r w:rsidRPr="007247F8">
        <w:rPr>
          <w:sz w:val="18"/>
          <w:szCs w:val="18"/>
        </w:rPr>
        <w:t>'</w:t>
      </w:r>
      <w:r w:rsidRPr="008D2AD6">
        <w:rPr>
          <w:szCs w:val="20"/>
        </w:rPr>
        <w:t xml:space="preserve">s Plan. </w:t>
      </w:r>
      <w:r w:rsidR="002C790B">
        <w:rPr>
          <w:szCs w:val="20"/>
        </w:rPr>
        <w:t>This Amendment is effective January 1, 2020 (or, if later, the effective date of the Plan), or such earlier date as it was implemented operationally.</w:t>
      </w:r>
    </w:p>
    <w:p w14:paraId="029CD01F" w14:textId="77777777" w:rsidR="00841C73" w:rsidRPr="008D2AD6" w:rsidRDefault="00841C73" w:rsidP="00841C73">
      <w:pPr>
        <w:widowControl/>
        <w:adjustRightInd w:val="0"/>
        <w:ind w:left="540" w:hanging="540"/>
        <w:rPr>
          <w:szCs w:val="20"/>
        </w:rPr>
      </w:pPr>
    </w:p>
    <w:p w14:paraId="54E8F94C" w14:textId="77777777" w:rsidR="00841C73" w:rsidRPr="008D2AD6" w:rsidRDefault="00841C73" w:rsidP="00841C73">
      <w:pPr>
        <w:ind w:left="540" w:hanging="540"/>
        <w:rPr>
          <w:szCs w:val="20"/>
        </w:rPr>
      </w:pPr>
      <w:r w:rsidRPr="008D2AD6">
        <w:rPr>
          <w:bCs/>
          <w:szCs w:val="20"/>
        </w:rPr>
        <w:t>1.2</w:t>
      </w:r>
      <w:r w:rsidRPr="008D2AD6">
        <w:rPr>
          <w:b/>
          <w:szCs w:val="20"/>
        </w:rPr>
        <w:tab/>
        <w:t>Superseding of inconsistent provisions</w:t>
      </w:r>
      <w:r w:rsidRPr="008D2AD6">
        <w:rPr>
          <w:szCs w:val="20"/>
        </w:rPr>
        <w:t xml:space="preserve">. This Amendment supersedes the provisions of the Plan to the extent those provisions are inconsistent with the provisions of this Amendment. </w:t>
      </w:r>
      <w:bookmarkStart w:id="0" w:name="_Hlk11414794"/>
      <w:r w:rsidRPr="008D2AD6">
        <w:rPr>
          <w:szCs w:val="20"/>
        </w:rPr>
        <w:t>Except as otherwise provided in this Amendment, terms defined in the Plan will have the same meaning in this Amendment.</w:t>
      </w:r>
      <w:bookmarkEnd w:id="0"/>
    </w:p>
    <w:p w14:paraId="00A82467" w14:textId="0BF425A6" w:rsidR="00841C73" w:rsidRPr="008D2AD6" w:rsidRDefault="00841C73" w:rsidP="00841C73">
      <w:pPr>
        <w:rPr>
          <w:szCs w:val="20"/>
        </w:rPr>
      </w:pPr>
    </w:p>
    <w:p w14:paraId="4D8944FB" w14:textId="2871423A" w:rsidR="00841C73" w:rsidRPr="008D2AD6" w:rsidRDefault="00841C73" w:rsidP="00841C73">
      <w:pPr>
        <w:widowControl/>
        <w:ind w:left="540" w:hanging="540"/>
        <w:rPr>
          <w:szCs w:val="20"/>
        </w:rPr>
      </w:pPr>
      <w:r w:rsidRPr="008D2AD6">
        <w:rPr>
          <w:szCs w:val="20"/>
        </w:rPr>
        <w:t>1.</w:t>
      </w:r>
      <w:r>
        <w:rPr>
          <w:szCs w:val="20"/>
        </w:rPr>
        <w:t>3</w:t>
      </w:r>
      <w:r w:rsidRPr="008D2AD6">
        <w:rPr>
          <w:szCs w:val="20"/>
        </w:rPr>
        <w:tab/>
      </w:r>
      <w:r w:rsidRPr="008D2AD6">
        <w:rPr>
          <w:b/>
          <w:szCs w:val="20"/>
        </w:rPr>
        <w:t>Effect of restatement of Plan</w:t>
      </w:r>
      <w:r w:rsidRPr="008D2AD6">
        <w:rPr>
          <w:szCs w:val="20"/>
        </w:rPr>
        <w:t>. If the Employer restates the Plan using the Document Provider</w:t>
      </w:r>
      <w:r w:rsidRPr="007247F8">
        <w:rPr>
          <w:sz w:val="18"/>
          <w:szCs w:val="18"/>
        </w:rPr>
        <w:t>'</w:t>
      </w:r>
      <w:r w:rsidRPr="008D2AD6">
        <w:rPr>
          <w:szCs w:val="20"/>
        </w:rPr>
        <w:t xml:space="preserve">s pre-approved plan based on The Cumulative List of Changes in Plan Qualification Requirements for Pre-approved Defined Contribution Plans for 2017 (Notice 2017-37) or any earlier Cumulative List, then this Amendment shall remain in effect after such restatement unless the provisions in this Amendment are restated or otherwise become obsolete (e.g., if the Plan is restated onto a plan document which incorporates these provisions). </w:t>
      </w:r>
    </w:p>
    <w:p w14:paraId="2628288E" w14:textId="77777777" w:rsidR="00841C73" w:rsidRPr="008D2AD6" w:rsidRDefault="00841C73" w:rsidP="00841C73">
      <w:pPr>
        <w:ind w:left="540" w:hanging="540"/>
        <w:rPr>
          <w:szCs w:val="20"/>
        </w:rPr>
      </w:pPr>
    </w:p>
    <w:p w14:paraId="6DA88695" w14:textId="4A60E339" w:rsidR="00841C73" w:rsidRPr="008D2AD6" w:rsidRDefault="00841C73" w:rsidP="00841C73">
      <w:pPr>
        <w:widowControl/>
        <w:ind w:left="540" w:hanging="540"/>
        <w:rPr>
          <w:szCs w:val="20"/>
        </w:rPr>
      </w:pPr>
      <w:r w:rsidRPr="008D2AD6">
        <w:rPr>
          <w:szCs w:val="20"/>
        </w:rPr>
        <w:t>1.5</w:t>
      </w:r>
      <w:r w:rsidRPr="008D2AD6">
        <w:rPr>
          <w:szCs w:val="20"/>
        </w:rPr>
        <w:tab/>
      </w:r>
      <w:r w:rsidRPr="008D2AD6">
        <w:rPr>
          <w:b/>
          <w:szCs w:val="20"/>
        </w:rPr>
        <w:t>Adoption by Document Provider</w:t>
      </w:r>
      <w:r w:rsidRPr="008D2AD6">
        <w:rPr>
          <w:szCs w:val="20"/>
        </w:rPr>
        <w:t>. The Document Provider hereby adopts this Amendment on behalf of all of the Document Provider</w:t>
      </w:r>
      <w:r w:rsidRPr="007247F8">
        <w:rPr>
          <w:sz w:val="18"/>
          <w:szCs w:val="18"/>
        </w:rPr>
        <w:t>'</w:t>
      </w:r>
      <w:r w:rsidRPr="008D2AD6">
        <w:rPr>
          <w:szCs w:val="20"/>
        </w:rPr>
        <w:t xml:space="preserve">s plans adopted by its adopting employers. </w:t>
      </w:r>
      <w:r w:rsidR="00523FB2" w:rsidRPr="008D2AD6">
        <w:rPr>
          <w:bCs/>
          <w:szCs w:val="20"/>
        </w:rPr>
        <w:t>The Document Provider means the Sponsor of a Prototype Plan or VS Practitioner of a Volume Submitter Plan as defined in Rev. Proc. 2015-36, or the Provider of a Pre-approved Plan, as defined in Rev. Proc. 2017-41. References to the Document Provider</w:t>
      </w:r>
      <w:r w:rsidR="00523FB2" w:rsidRPr="007247F8">
        <w:rPr>
          <w:sz w:val="18"/>
          <w:szCs w:val="18"/>
        </w:rPr>
        <w:t>'</w:t>
      </w:r>
      <w:r w:rsidR="00523FB2" w:rsidRPr="008D2AD6">
        <w:rPr>
          <w:bCs/>
          <w:szCs w:val="20"/>
        </w:rPr>
        <w:t>s plans or to pre-approved plans refer to the Prototype Plans, Volume Submitter Plans, and/or Pre-approved Plans sponsored by the Document Provider for use by adopting employers, as the case may be</w:t>
      </w:r>
      <w:r w:rsidR="00523FB2">
        <w:rPr>
          <w:bCs/>
          <w:szCs w:val="20"/>
        </w:rPr>
        <w:t>.</w:t>
      </w:r>
    </w:p>
    <w:p w14:paraId="753FE867" w14:textId="77777777" w:rsidR="00841C73" w:rsidRPr="008D2AD6" w:rsidRDefault="00841C73" w:rsidP="00841C73">
      <w:pPr>
        <w:rPr>
          <w:szCs w:val="20"/>
        </w:rPr>
      </w:pPr>
    </w:p>
    <w:p w14:paraId="2FC3B560" w14:textId="77777777" w:rsidR="00841C73" w:rsidRPr="008D2AD6" w:rsidRDefault="00841C73" w:rsidP="00841C73">
      <w:pPr>
        <w:widowControl/>
        <w:tabs>
          <w:tab w:val="left" w:pos="360"/>
          <w:tab w:val="left" w:pos="720"/>
        </w:tabs>
        <w:jc w:val="center"/>
        <w:rPr>
          <w:b/>
          <w:szCs w:val="20"/>
        </w:rPr>
      </w:pPr>
      <w:r w:rsidRPr="008D2AD6">
        <w:rPr>
          <w:b/>
          <w:szCs w:val="20"/>
        </w:rPr>
        <w:t>ARTICLE II</w:t>
      </w:r>
    </w:p>
    <w:p w14:paraId="0211E464" w14:textId="36D7CD84" w:rsidR="00841C73" w:rsidRPr="008D2AD6" w:rsidRDefault="00841C73" w:rsidP="00841C73">
      <w:pPr>
        <w:widowControl/>
        <w:tabs>
          <w:tab w:val="left" w:pos="360"/>
          <w:tab w:val="left" w:pos="720"/>
        </w:tabs>
        <w:jc w:val="center"/>
        <w:rPr>
          <w:b/>
          <w:szCs w:val="20"/>
        </w:rPr>
      </w:pPr>
      <w:r>
        <w:rPr>
          <w:b/>
          <w:szCs w:val="20"/>
        </w:rPr>
        <w:t>PARTICIPANT CONTRIBUTIONS NOT IMPACTED BY HARDSHIP DISTRIBUTIONS</w:t>
      </w:r>
    </w:p>
    <w:p w14:paraId="037392DE" w14:textId="77777777" w:rsidR="00841C73" w:rsidRPr="008D2AD6" w:rsidRDefault="00841C73" w:rsidP="00841C73">
      <w:pPr>
        <w:widowControl/>
        <w:tabs>
          <w:tab w:val="left" w:pos="360"/>
          <w:tab w:val="left" w:pos="720"/>
        </w:tabs>
        <w:rPr>
          <w:b/>
          <w:szCs w:val="20"/>
        </w:rPr>
      </w:pPr>
    </w:p>
    <w:p w14:paraId="100DA9E9" w14:textId="0FF401C5" w:rsidR="00841C73" w:rsidRPr="008D2AD6" w:rsidRDefault="00841C73" w:rsidP="00841C73">
      <w:pPr>
        <w:keepNext/>
        <w:ind w:left="540" w:hanging="540"/>
        <w:rPr>
          <w:bCs/>
          <w:szCs w:val="20"/>
        </w:rPr>
      </w:pPr>
      <w:bookmarkStart w:id="1" w:name="_Hlk21942123"/>
      <w:bookmarkStart w:id="2" w:name="_Hlk507083503"/>
      <w:r w:rsidRPr="008D2AD6">
        <w:rPr>
          <w:szCs w:val="20"/>
        </w:rPr>
        <w:t>2.1</w:t>
      </w:r>
      <w:r w:rsidRPr="008D2AD6">
        <w:rPr>
          <w:szCs w:val="20"/>
        </w:rPr>
        <w:tab/>
      </w:r>
      <w:r w:rsidR="00523FB2">
        <w:rPr>
          <w:b/>
          <w:bCs/>
          <w:szCs w:val="20"/>
        </w:rPr>
        <w:t xml:space="preserve">Amendment. </w:t>
      </w:r>
      <w:r w:rsidRPr="00841C73">
        <w:rPr>
          <w:szCs w:val="20"/>
        </w:rPr>
        <w:t xml:space="preserve">Notwithstanding any contrary provision in the Plan, no Participant shall be prohibited from making a Participant Contribution to the Plan that the Participant is otherwise eligible to make under existing Plan terms, merely because the Participant has received a hardship distribution </w:t>
      </w:r>
      <w:r w:rsidR="00A25F4F" w:rsidRPr="00A25F4F">
        <w:rPr>
          <w:szCs w:val="20"/>
        </w:rPr>
        <w:t>under</w:t>
      </w:r>
      <w:r w:rsidR="00A25F4F">
        <w:rPr>
          <w:szCs w:val="20"/>
        </w:rPr>
        <w:t xml:space="preserve"> (</w:t>
      </w:r>
      <w:r w:rsidR="00A25F4F" w:rsidRPr="00A25F4F">
        <w:rPr>
          <w:szCs w:val="20"/>
        </w:rPr>
        <w:t>or based on the standards described in</w:t>
      </w:r>
      <w:r w:rsidR="00A25F4F">
        <w:rPr>
          <w:szCs w:val="20"/>
        </w:rPr>
        <w:t>)</w:t>
      </w:r>
      <w:r w:rsidR="00A25F4F" w:rsidRPr="00A25F4F">
        <w:rPr>
          <w:szCs w:val="20"/>
        </w:rPr>
        <w:t xml:space="preserve"> Treas. Reg. §1.401(k)-1(d)(3) from another</w:t>
      </w:r>
      <w:r w:rsidR="00A25F4F">
        <w:rPr>
          <w:szCs w:val="20"/>
        </w:rPr>
        <w:t xml:space="preserve"> </w:t>
      </w:r>
      <w:r w:rsidRPr="00841C73">
        <w:rPr>
          <w:szCs w:val="20"/>
        </w:rPr>
        <w:t xml:space="preserve">plan maintained by the Employer or a related employer described in Code §414(b), (c), (m), or (o).  The term "Participant Contribution” includes any employee contribution or elective deferral described in Treas. Reg. </w:t>
      </w:r>
      <w:r w:rsidR="004C7559">
        <w:rPr>
          <w:szCs w:val="20"/>
        </w:rPr>
        <w:t>§</w:t>
      </w:r>
      <w:r w:rsidRPr="00841C73">
        <w:rPr>
          <w:szCs w:val="20"/>
        </w:rPr>
        <w:t>1.401(k)-1(d)(3)(iii)(C).</w:t>
      </w:r>
      <w:bookmarkEnd w:id="1"/>
      <w:bookmarkEnd w:id="2"/>
      <w:r w:rsidRPr="008D2AD6">
        <w:rPr>
          <w:bCs/>
          <w:szCs w:val="20"/>
        </w:rPr>
        <w:t xml:space="preserve"> </w:t>
      </w:r>
    </w:p>
    <w:p w14:paraId="2D829837" w14:textId="77777777" w:rsidR="00841C73" w:rsidRPr="008D2AD6" w:rsidRDefault="00841C73" w:rsidP="00841C73">
      <w:pPr>
        <w:keepNext/>
        <w:keepLines/>
        <w:widowControl/>
        <w:autoSpaceDE/>
        <w:autoSpaceDN/>
        <w:rPr>
          <w:snapToGrid w:val="0"/>
          <w:szCs w:val="20"/>
        </w:rPr>
      </w:pPr>
    </w:p>
    <w:p w14:paraId="061630F4" w14:textId="77777777" w:rsidR="00841C73" w:rsidRPr="008D2AD6" w:rsidRDefault="00841C73" w:rsidP="00841C73">
      <w:pPr>
        <w:keepNext/>
        <w:keepLines/>
        <w:widowControl/>
        <w:autoSpaceDE/>
        <w:autoSpaceDN/>
        <w:rPr>
          <w:snapToGrid w:val="0"/>
          <w:szCs w:val="20"/>
        </w:rPr>
      </w:pPr>
    </w:p>
    <w:p w14:paraId="1C60B23F" w14:textId="77777777" w:rsidR="00841C73" w:rsidRPr="008D2AD6" w:rsidRDefault="00841C73" w:rsidP="00841C73">
      <w:pPr>
        <w:keepNext/>
        <w:keepLines/>
        <w:widowControl/>
        <w:autoSpaceDE/>
        <w:autoSpaceDN/>
        <w:rPr>
          <w:snapToGrid w:val="0"/>
          <w:szCs w:val="20"/>
        </w:rPr>
      </w:pPr>
    </w:p>
    <w:p w14:paraId="44A2D7CE" w14:textId="77777777" w:rsidR="00841C73" w:rsidRPr="008D2AD6" w:rsidRDefault="00841C73" w:rsidP="00841C73">
      <w:pPr>
        <w:keepNext/>
        <w:keepLines/>
        <w:widowControl/>
        <w:tabs>
          <w:tab w:val="left" w:pos="5760"/>
        </w:tabs>
        <w:autoSpaceDE/>
        <w:autoSpaceDN/>
        <w:rPr>
          <w:snapToGrid w:val="0"/>
          <w:szCs w:val="20"/>
          <w:u w:val="single"/>
        </w:rPr>
      </w:pPr>
      <w:r w:rsidRPr="008D2AD6">
        <w:rPr>
          <w:snapToGrid w:val="0"/>
          <w:szCs w:val="20"/>
          <w:u w:val="single"/>
        </w:rPr>
        <w:tab/>
      </w:r>
    </w:p>
    <w:p w14:paraId="363DC72A" w14:textId="77777777" w:rsidR="00841C73" w:rsidRPr="008D2AD6" w:rsidRDefault="00841C73" w:rsidP="00841C73">
      <w:pPr>
        <w:keepNext/>
        <w:keepLines/>
        <w:widowControl/>
        <w:tabs>
          <w:tab w:val="left" w:pos="2160"/>
        </w:tabs>
        <w:autoSpaceDE/>
        <w:autoSpaceDN/>
        <w:rPr>
          <w:snapToGrid w:val="0"/>
          <w:szCs w:val="20"/>
        </w:rPr>
      </w:pPr>
      <w:r w:rsidRPr="008D2AD6">
        <w:rPr>
          <w:snapToGrid w:val="0"/>
          <w:szCs w:val="20"/>
        </w:rPr>
        <w:tab/>
        <w:t>(signature and date)</w:t>
      </w:r>
    </w:p>
    <w:p w14:paraId="7B0E5B1D" w14:textId="77777777" w:rsidR="00841C73" w:rsidRPr="008D2AD6" w:rsidRDefault="00841C73" w:rsidP="00841C73">
      <w:pPr>
        <w:keepNext/>
        <w:keepLines/>
        <w:widowControl/>
        <w:tabs>
          <w:tab w:val="left" w:pos="4320"/>
        </w:tabs>
        <w:autoSpaceDE/>
        <w:autoSpaceDN/>
        <w:rPr>
          <w:snapToGrid w:val="0"/>
          <w:szCs w:val="20"/>
          <w:u w:val="single"/>
        </w:rPr>
      </w:pPr>
    </w:p>
    <w:p w14:paraId="70CA64F6" w14:textId="2E2804CB" w:rsidR="00841C73" w:rsidRPr="008D2AD6" w:rsidRDefault="00523FB2" w:rsidP="00841C73">
      <w:pPr>
        <w:keepNext/>
        <w:keepLines/>
        <w:widowControl/>
        <w:tabs>
          <w:tab w:val="left" w:pos="5760"/>
        </w:tabs>
        <w:autoSpaceDE/>
        <w:autoSpaceDN/>
        <w:rPr>
          <w:snapToGrid w:val="0"/>
          <w:szCs w:val="20"/>
          <w:u w:val="single"/>
        </w:rPr>
      </w:pPr>
      <w:r>
        <w:rPr>
          <w:snapToGrid w:val="0"/>
          <w:szCs w:val="20"/>
        </w:rPr>
        <w:t>Document Provider</w:t>
      </w:r>
      <w:r w:rsidR="00841C73" w:rsidRPr="008D2AD6">
        <w:rPr>
          <w:snapToGrid w:val="0"/>
          <w:szCs w:val="20"/>
        </w:rPr>
        <w:t xml:space="preserve"> Name: </w:t>
      </w:r>
      <w:r w:rsidR="00841C73" w:rsidRPr="008D2AD6">
        <w:rPr>
          <w:snapToGrid w:val="0"/>
          <w:szCs w:val="20"/>
          <w:u w:val="single"/>
        </w:rPr>
        <w:tab/>
      </w:r>
    </w:p>
    <w:p w14:paraId="1F903445" w14:textId="77777777" w:rsidR="00841C73" w:rsidRPr="008D2AD6" w:rsidRDefault="00841C73" w:rsidP="00841C73">
      <w:pPr>
        <w:keepNext/>
        <w:widowControl/>
        <w:rPr>
          <w:b/>
          <w:bCs/>
          <w:szCs w:val="20"/>
        </w:rPr>
      </w:pPr>
    </w:p>
    <w:p w14:paraId="7A31FB20" w14:textId="77777777" w:rsidR="00841C73" w:rsidRPr="008D2AD6" w:rsidRDefault="00841C73" w:rsidP="00841C73">
      <w:pPr>
        <w:keepNext/>
        <w:keepLines/>
        <w:widowControl/>
        <w:tabs>
          <w:tab w:val="left" w:pos="5220"/>
          <w:tab w:val="left" w:pos="8550"/>
          <w:tab w:val="left" w:pos="9540"/>
        </w:tabs>
        <w:rPr>
          <w:szCs w:val="20"/>
        </w:rPr>
      </w:pPr>
      <w:bookmarkStart w:id="3" w:name="_GoBack"/>
      <w:bookmarkEnd w:id="3"/>
    </w:p>
    <w:sectPr w:rsidR="00841C73" w:rsidRPr="008D2A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9BE3C" w14:textId="77777777" w:rsidR="000B6995" w:rsidRDefault="000B6995" w:rsidP="008E11A0">
      <w:r>
        <w:separator/>
      </w:r>
    </w:p>
  </w:endnote>
  <w:endnote w:type="continuationSeparator" w:id="0">
    <w:p w14:paraId="3EA26067" w14:textId="77777777" w:rsidR="000B6995" w:rsidRDefault="000B6995" w:rsidP="008E1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A1D1F" w14:textId="30549493" w:rsidR="008E11A0" w:rsidRDefault="008E11A0" w:rsidP="008E11A0">
    <w:pPr>
      <w:pStyle w:val="Footer"/>
    </w:pPr>
    <w:r w:rsidRPr="00B44470">
      <w:rPr>
        <w:rFonts w:ascii="Times" w:hAnsi="Times" w:cs="Times"/>
        <w:szCs w:val="20"/>
      </w:rPr>
      <w:t>© 20</w:t>
    </w:r>
    <w:r w:rsidR="000D218D">
      <w:rPr>
        <w:rFonts w:ascii="Times" w:hAnsi="Times" w:cs="Times"/>
        <w:szCs w:val="20"/>
      </w:rPr>
      <w:t>20</w:t>
    </w:r>
    <w:r>
      <w:rPr>
        <w:rFonts w:ascii="Times" w:hAnsi="Times" w:cs="Times"/>
        <w:szCs w:val="20"/>
      </w:rPr>
      <w:t xml:space="preserve"> FIS Business Systems LLC or its suppliers</w:t>
    </w:r>
    <w:r w:rsidR="00C14330">
      <w:rPr>
        <w:rFonts w:ascii="Times" w:hAnsi="Times" w:cs="Times"/>
        <w:szCs w:val="20"/>
      </w:rPr>
      <w:tab/>
    </w:r>
    <w:r w:rsidR="00C14330">
      <w:rPr>
        <w:rFonts w:ascii="Times" w:hAnsi="Times" w:cs="Times"/>
        <w:szCs w:val="20"/>
      </w:rPr>
      <w:tab/>
      <w:t xml:space="preserve">Rev. </w:t>
    </w:r>
    <w:r w:rsidR="00815CC6">
      <w:rPr>
        <w:rFonts w:ascii="Times" w:hAnsi="Times" w:cs="Times"/>
        <w:szCs w:val="20"/>
      </w:rPr>
      <w:t>1</w:t>
    </w:r>
    <w:r w:rsidR="00895341">
      <w:rPr>
        <w:rFonts w:ascii="Times" w:hAnsi="Times" w:cs="Times"/>
        <w:szCs w:val="20"/>
      </w:rPr>
      <w:t>7</w:t>
    </w:r>
    <w:r w:rsidR="00815CC6">
      <w:rPr>
        <w:rFonts w:ascii="Times" w:hAnsi="Times" w:cs="Times"/>
        <w:szCs w:val="20"/>
      </w:rPr>
      <w:t xml:space="preserve"> Mar 2020</w:t>
    </w:r>
  </w:p>
  <w:p w14:paraId="61A29641" w14:textId="77777777" w:rsidR="008E11A0" w:rsidRDefault="008E1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01043" w14:textId="77777777" w:rsidR="000B6995" w:rsidRDefault="000B6995" w:rsidP="008E11A0">
      <w:r>
        <w:separator/>
      </w:r>
    </w:p>
  </w:footnote>
  <w:footnote w:type="continuationSeparator" w:id="0">
    <w:p w14:paraId="7CF3503C" w14:textId="77777777" w:rsidR="000B6995" w:rsidRDefault="000B6995" w:rsidP="008E1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E3C09"/>
    <w:multiLevelType w:val="hybridMultilevel"/>
    <w:tmpl w:val="ABECE8F8"/>
    <w:lvl w:ilvl="0" w:tplc="1F4647A4">
      <w:start w:val="1"/>
      <w:numFmt w:val="lowerLetter"/>
      <w:lvlText w:val="%1."/>
      <w:lvlJc w:val="left"/>
      <w:pPr>
        <w:ind w:left="990" w:hanging="45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C73"/>
    <w:rsid w:val="000B6995"/>
    <w:rsid w:val="000D218D"/>
    <w:rsid w:val="002371F1"/>
    <w:rsid w:val="002C790B"/>
    <w:rsid w:val="004C7559"/>
    <w:rsid w:val="00523FB2"/>
    <w:rsid w:val="006C6A23"/>
    <w:rsid w:val="00815CC6"/>
    <w:rsid w:val="00841C73"/>
    <w:rsid w:val="00895341"/>
    <w:rsid w:val="008E11A0"/>
    <w:rsid w:val="00A25F4F"/>
    <w:rsid w:val="00AC7487"/>
    <w:rsid w:val="00C14330"/>
    <w:rsid w:val="00D06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767D6"/>
  <w15:chartTrackingRefBased/>
  <w15:docId w15:val="{FD21131C-324F-4CBB-A7AF-71A72C39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Schoolbook" w:eastAsiaTheme="minorHAnsi" w:hAnsi="Century Schoolbook" w:cstheme="minorBidi"/>
        <w:sz w:val="24"/>
        <w:szCs w:val="22"/>
        <w:lang w:val="en-US" w:eastAsia="en-US" w:bidi="ar-SA"/>
      </w:rPr>
    </w:rPrDefault>
    <w:pPrDefault>
      <w:pPr>
        <w:spacing w:after="160"/>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41C73"/>
    <w:pPr>
      <w:widowControl w:val="0"/>
      <w:autoSpaceDE w:val="0"/>
      <w:autoSpaceDN w:val="0"/>
      <w:spacing w:after="0"/>
      <w:jc w:val="left"/>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841C73"/>
    <w:pPr>
      <w:keepNext/>
      <w:jc w:val="center"/>
      <w:outlineLvl w:val="0"/>
    </w:pPr>
    <w:rPr>
      <w:rFonts w:ascii="Times" w:hAnsi="Times"/>
      <w:b/>
      <w:bCs/>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1C73"/>
    <w:rPr>
      <w:rFonts w:ascii="Times" w:eastAsia="Times New Roman" w:hAnsi="Times" w:cs="Times New Roman"/>
      <w:b/>
      <w:bCs/>
      <w:sz w:val="22"/>
      <w:szCs w:val="18"/>
    </w:rPr>
  </w:style>
  <w:style w:type="character" w:customStyle="1" w:styleId="normaltextrun">
    <w:name w:val="normaltextrun"/>
    <w:basedOn w:val="DefaultParagraphFont"/>
    <w:rsid w:val="00841C73"/>
  </w:style>
  <w:style w:type="character" w:customStyle="1" w:styleId="contextualspellingandgrammarerror">
    <w:name w:val="contextualspellingandgrammarerror"/>
    <w:basedOn w:val="DefaultParagraphFont"/>
    <w:rsid w:val="00841C73"/>
  </w:style>
  <w:style w:type="paragraph" w:styleId="BalloonText">
    <w:name w:val="Balloon Text"/>
    <w:basedOn w:val="Normal"/>
    <w:link w:val="BalloonTextChar"/>
    <w:uiPriority w:val="99"/>
    <w:semiHidden/>
    <w:unhideWhenUsed/>
    <w:rsid w:val="00523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FB2"/>
    <w:rPr>
      <w:rFonts w:ascii="Segoe UI" w:eastAsia="Times New Roman" w:hAnsi="Segoe UI" w:cs="Segoe UI"/>
      <w:sz w:val="18"/>
      <w:szCs w:val="18"/>
    </w:rPr>
  </w:style>
  <w:style w:type="paragraph" w:styleId="Header">
    <w:name w:val="header"/>
    <w:basedOn w:val="Normal"/>
    <w:link w:val="HeaderChar"/>
    <w:uiPriority w:val="99"/>
    <w:unhideWhenUsed/>
    <w:rsid w:val="008E11A0"/>
    <w:pPr>
      <w:tabs>
        <w:tab w:val="center" w:pos="4680"/>
        <w:tab w:val="right" w:pos="9360"/>
      </w:tabs>
    </w:pPr>
  </w:style>
  <w:style w:type="character" w:customStyle="1" w:styleId="HeaderChar">
    <w:name w:val="Header Char"/>
    <w:basedOn w:val="DefaultParagraphFont"/>
    <w:link w:val="Header"/>
    <w:uiPriority w:val="99"/>
    <w:rsid w:val="008E11A0"/>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8E11A0"/>
    <w:pPr>
      <w:tabs>
        <w:tab w:val="center" w:pos="4680"/>
        <w:tab w:val="right" w:pos="9360"/>
      </w:tabs>
    </w:pPr>
  </w:style>
  <w:style w:type="character" w:customStyle="1" w:styleId="FooterChar">
    <w:name w:val="Footer Char"/>
    <w:basedOn w:val="DefaultParagraphFont"/>
    <w:link w:val="Footer"/>
    <w:uiPriority w:val="99"/>
    <w:rsid w:val="008E11A0"/>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55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Derrin Watson</dc:creator>
  <cp:keywords/>
  <dc:description/>
  <cp:lastModifiedBy>S. Derrin Watson</cp:lastModifiedBy>
  <cp:revision>2</cp:revision>
  <dcterms:created xsi:type="dcterms:W3CDTF">2020-03-17T15:40:00Z</dcterms:created>
  <dcterms:modified xsi:type="dcterms:W3CDTF">2020-03-17T15:40:00Z</dcterms:modified>
</cp:coreProperties>
</file>