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77D6" w14:textId="77777777" w:rsidR="005D4794" w:rsidRDefault="005D4794" w:rsidP="005D4794">
      <w:pPr>
        <w:widowControl/>
        <w:jc w:val="center"/>
        <w:rPr>
          <w:rFonts w:ascii="Times" w:hAnsi="Times" w:cs="Times"/>
          <w:b/>
          <w:szCs w:val="20"/>
        </w:rPr>
      </w:pPr>
      <w:r>
        <w:rPr>
          <w:rFonts w:ascii="Times" w:hAnsi="Times" w:cs="Times"/>
          <w:b/>
          <w:szCs w:val="20"/>
        </w:rPr>
        <w:t>SUMMARY PLAN DESCRIPTION</w:t>
      </w:r>
    </w:p>
    <w:p w14:paraId="127F095D" w14:textId="2B041443" w:rsidR="005D4794" w:rsidRDefault="005D4794" w:rsidP="005D4794">
      <w:pPr>
        <w:widowControl/>
        <w:jc w:val="center"/>
        <w:rPr>
          <w:rFonts w:ascii="Times" w:hAnsi="Times" w:cs="Times"/>
          <w:b/>
          <w:szCs w:val="20"/>
        </w:rPr>
      </w:pPr>
      <w:r>
        <w:rPr>
          <w:rFonts w:ascii="Times" w:hAnsi="Times" w:cs="Times"/>
          <w:b/>
          <w:szCs w:val="20"/>
        </w:rPr>
        <w:t>MATERIAL MODIFICATIONS</w:t>
      </w:r>
      <w:r w:rsidR="00356B40">
        <w:rPr>
          <w:rFonts w:ascii="Times" w:hAnsi="Times" w:cs="Times"/>
          <w:b/>
          <w:szCs w:val="20"/>
        </w:rPr>
        <w:t xml:space="preserve"> – SECURE ACT</w:t>
      </w:r>
      <w:r w:rsidR="00FA259A">
        <w:rPr>
          <w:rStyle w:val="FootnoteReference"/>
          <w:rFonts w:ascii="Times" w:hAnsi="Times" w:cs="Times"/>
          <w:b/>
          <w:szCs w:val="20"/>
        </w:rPr>
        <w:footnoteReference w:id="1"/>
      </w:r>
    </w:p>
    <w:p w14:paraId="2E96E63D" w14:textId="77777777" w:rsidR="005D4794" w:rsidRDefault="005D4794" w:rsidP="005D4794">
      <w:pPr>
        <w:widowControl/>
        <w:rPr>
          <w:rFonts w:ascii="Times" w:hAnsi="Times" w:cs="Times"/>
          <w:b/>
          <w:szCs w:val="20"/>
        </w:rPr>
      </w:pPr>
    </w:p>
    <w:p w14:paraId="6E0B8780" w14:textId="77777777" w:rsidR="005D4794" w:rsidRDefault="005D4794" w:rsidP="005D4794">
      <w:pPr>
        <w:widowControl/>
        <w:rPr>
          <w:rFonts w:ascii="Times" w:hAnsi="Times" w:cs="Times"/>
          <w:szCs w:val="20"/>
        </w:rPr>
      </w:pPr>
    </w:p>
    <w:p w14:paraId="4B5A356E" w14:textId="28EA915E" w:rsidR="005D4794" w:rsidRDefault="005D4794" w:rsidP="005D4794">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important change</w:t>
      </w:r>
      <w:r w:rsidR="005F083D">
        <w:rPr>
          <w:rFonts w:ascii="Times" w:hAnsi="Times" w:cs="Times"/>
          <w:szCs w:val="20"/>
        </w:rPr>
        <w:t>s</w:t>
      </w:r>
      <w:r>
        <w:rPr>
          <w:rFonts w:ascii="Times" w:hAnsi="Times" w:cs="Times"/>
          <w:szCs w:val="20"/>
        </w:rPr>
        <w:t xml:space="preserv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0BADA3DA" w14:textId="77777777" w:rsidR="00B46BBD" w:rsidRDefault="00B46BBD" w:rsidP="005D4794">
      <w:pPr>
        <w:widowControl/>
        <w:ind w:firstLine="360"/>
        <w:rPr>
          <w:rFonts w:ascii="Times" w:hAnsi="Times" w:cs="Times"/>
          <w:szCs w:val="20"/>
        </w:rPr>
      </w:pPr>
    </w:p>
    <w:p w14:paraId="1C3D8418" w14:textId="710D9C03" w:rsidR="009F58CA" w:rsidRDefault="009F58CA" w:rsidP="009F58CA">
      <w:pPr>
        <w:rPr>
          <w:i/>
          <w:iCs/>
        </w:rPr>
      </w:pPr>
      <w:r w:rsidRPr="00E07248">
        <w:rPr>
          <w:b/>
          <w:bCs/>
        </w:rPr>
        <w:t>QUALIFIED BIRTH AND ADOPTION DISTRIBUTIONS.</w:t>
      </w:r>
      <w:r>
        <w:rPr>
          <w:rStyle w:val="FootnoteReference"/>
          <w:b/>
          <w:bCs/>
        </w:rPr>
        <w:footnoteReference w:id="2"/>
      </w:r>
      <w:r>
        <w:rPr>
          <w:b/>
          <w:bCs/>
        </w:rPr>
        <w:t xml:space="preserve">  </w:t>
      </w:r>
      <w:r>
        <w:t>Effective ______________, you as a Participant may request a distribution of up to $5,000 per child as a Qualified Birth or Adoption Distribution (QBAD), provided certain conditions are met.  A QBAD must be made during the 1-year period beginning on the date your child is born or the date you adopt someone who is not your child or your spouse’s child and who is under age 18 or is physically or mentally incapable of caring for themselves.  You can later recontribut</w:t>
      </w:r>
      <w:r w:rsidR="00280FDB">
        <w:t>e</w:t>
      </w:r>
      <w:r>
        <w:t xml:space="preserve"> this distribution to an IRA or, in some situations, to this Plan. </w:t>
      </w:r>
      <w:r w:rsidRPr="00D301DE">
        <w:rPr>
          <w:i/>
          <w:iCs/>
        </w:rPr>
        <w:t xml:space="preserve"> [QBADs are only available from accounts in which you are fully vested.  QBADs are not available after you have severed employment.  QBADs are available only from the following accounts:  ____________________________________.]</w:t>
      </w:r>
      <w:r>
        <w:rPr>
          <w:rStyle w:val="FootnoteReference"/>
          <w:i/>
          <w:iCs/>
        </w:rPr>
        <w:footnoteReference w:id="3"/>
      </w:r>
    </w:p>
    <w:p w14:paraId="7F015313" w14:textId="77777777" w:rsidR="009F58CA" w:rsidRDefault="009F58CA" w:rsidP="009F58CA">
      <w:pPr>
        <w:rPr>
          <w:i/>
          <w:iCs/>
        </w:rPr>
      </w:pPr>
    </w:p>
    <w:p w14:paraId="5DD97F97" w14:textId="1BA7A988" w:rsidR="00B46BBD" w:rsidRDefault="00B46BBD" w:rsidP="00700B8E">
      <w:pPr>
        <w:widowControl/>
        <w:rPr>
          <w:rFonts w:ascii="Times" w:hAnsi="Times" w:cs="Times"/>
          <w:szCs w:val="20"/>
        </w:rPr>
      </w:pPr>
      <w:r w:rsidRPr="007170B5">
        <w:rPr>
          <w:rFonts w:ascii="Times" w:hAnsi="Times" w:cs="Times"/>
          <w:b/>
          <w:bCs/>
          <w:szCs w:val="20"/>
        </w:rPr>
        <w:t xml:space="preserve">REQUIRED MINIMUM DISTRIBUTIONS. </w:t>
      </w:r>
      <w:r>
        <w:rPr>
          <w:rFonts w:ascii="Times" w:hAnsi="Times" w:cs="Times"/>
          <w:szCs w:val="20"/>
        </w:rPr>
        <w:t xml:space="preserve"> </w:t>
      </w:r>
      <w:r w:rsidR="00363C99">
        <w:rPr>
          <w:rFonts w:ascii="Times" w:hAnsi="Times" w:cs="Times"/>
          <w:szCs w:val="20"/>
        </w:rPr>
        <w:t xml:space="preserve">The law </w:t>
      </w:r>
      <w:r w:rsidR="00E66B55">
        <w:rPr>
          <w:rFonts w:ascii="Times" w:hAnsi="Times" w:cs="Times"/>
          <w:szCs w:val="20"/>
        </w:rPr>
        <w:t xml:space="preserve">requires that </w:t>
      </w:r>
      <w:r w:rsidR="00830206">
        <w:rPr>
          <w:rFonts w:ascii="Times" w:hAnsi="Times" w:cs="Times"/>
          <w:szCs w:val="20"/>
        </w:rPr>
        <w:t>retirement</w:t>
      </w:r>
      <w:r w:rsidR="00E66B55">
        <w:rPr>
          <w:rFonts w:ascii="Times" w:hAnsi="Times" w:cs="Times"/>
          <w:szCs w:val="20"/>
        </w:rPr>
        <w:t xml:space="preserve"> plans distribute </w:t>
      </w:r>
      <w:r w:rsidR="00BD5BCF">
        <w:rPr>
          <w:rFonts w:ascii="Times" w:hAnsi="Times" w:cs="Times"/>
          <w:szCs w:val="20"/>
        </w:rPr>
        <w:t>funds at least as rapidly as specified in the required minimum distribution (RMD) rules.</w:t>
      </w:r>
      <w:r w:rsidR="00AE38F5">
        <w:rPr>
          <w:rFonts w:ascii="Times" w:hAnsi="Times" w:cs="Times"/>
          <w:szCs w:val="20"/>
        </w:rPr>
        <w:t xml:space="preserve">  The </w:t>
      </w:r>
      <w:r w:rsidR="00830206">
        <w:rPr>
          <w:rFonts w:ascii="Times" w:hAnsi="Times" w:cs="Times"/>
          <w:szCs w:val="20"/>
        </w:rPr>
        <w:t>P</w:t>
      </w:r>
      <w:r w:rsidR="00AE38F5">
        <w:rPr>
          <w:rFonts w:ascii="Times" w:hAnsi="Times" w:cs="Times"/>
          <w:szCs w:val="20"/>
        </w:rPr>
        <w:t xml:space="preserve">lan has been amended to conform to recent changes in those rules.  </w:t>
      </w:r>
      <w:r w:rsidR="00113745">
        <w:rPr>
          <w:rFonts w:ascii="Times" w:hAnsi="Times" w:cs="Times"/>
          <w:szCs w:val="20"/>
        </w:rPr>
        <w:t xml:space="preserve">The law now requires complete distributions to some </w:t>
      </w:r>
      <w:r w:rsidR="002B4B24">
        <w:rPr>
          <w:rFonts w:ascii="Times" w:hAnsi="Times" w:cs="Times"/>
          <w:szCs w:val="20"/>
        </w:rPr>
        <w:t>beneficiaries</w:t>
      </w:r>
      <w:r w:rsidR="00113745">
        <w:rPr>
          <w:rFonts w:ascii="Times" w:hAnsi="Times" w:cs="Times"/>
          <w:szCs w:val="20"/>
        </w:rPr>
        <w:t xml:space="preserve"> of deceased </w:t>
      </w:r>
      <w:r w:rsidR="002B4B24">
        <w:rPr>
          <w:rFonts w:ascii="Times" w:hAnsi="Times" w:cs="Times"/>
          <w:szCs w:val="20"/>
        </w:rPr>
        <w:t>participants</w:t>
      </w:r>
      <w:r w:rsidR="00113745">
        <w:rPr>
          <w:rFonts w:ascii="Times" w:hAnsi="Times" w:cs="Times"/>
          <w:szCs w:val="20"/>
        </w:rPr>
        <w:t xml:space="preserve"> within 10 years after death. </w:t>
      </w:r>
      <w:r w:rsidR="001745D6" w:rsidRPr="00987BB5">
        <w:rPr>
          <w:rFonts w:ascii="Times" w:hAnsi="Times" w:cs="Times"/>
          <w:i/>
          <w:iCs/>
          <w:szCs w:val="20"/>
        </w:rPr>
        <w:t>[</w:t>
      </w:r>
      <w:r w:rsidR="005E36FD" w:rsidRPr="00987BB5">
        <w:rPr>
          <w:rFonts w:ascii="Times" w:hAnsi="Times" w:cs="Times"/>
          <w:i/>
          <w:iCs/>
          <w:szCs w:val="20"/>
        </w:rPr>
        <w:t>Additionally</w:t>
      </w:r>
      <w:r w:rsidR="00BD7F15" w:rsidRPr="00987BB5">
        <w:rPr>
          <w:rFonts w:ascii="Times" w:hAnsi="Times" w:cs="Times"/>
          <w:i/>
          <w:iCs/>
          <w:szCs w:val="20"/>
        </w:rPr>
        <w:t xml:space="preserve">, distributions </w:t>
      </w:r>
      <w:r w:rsidR="00977E0D" w:rsidRPr="00987BB5">
        <w:rPr>
          <w:rFonts w:ascii="Times" w:hAnsi="Times" w:cs="Times"/>
          <w:i/>
          <w:iCs/>
          <w:szCs w:val="20"/>
        </w:rPr>
        <w:t>to a participant must generally begin by April 1 of the calendar year following the year the participant turns age 72 (</w:t>
      </w:r>
      <w:r w:rsidR="004972B4" w:rsidRPr="00987BB5">
        <w:rPr>
          <w:rFonts w:ascii="Times" w:hAnsi="Times" w:cs="Times"/>
          <w:i/>
          <w:iCs/>
          <w:szCs w:val="20"/>
        </w:rPr>
        <w:t>or, in some cases, when the participant retires, if later).  Previously, the age was 70½.</w:t>
      </w:r>
      <w:r w:rsidR="001745D6" w:rsidRPr="00987BB5">
        <w:rPr>
          <w:rFonts w:ascii="Times" w:hAnsi="Times" w:cs="Times"/>
          <w:i/>
          <w:iCs/>
          <w:szCs w:val="20"/>
        </w:rPr>
        <w:t>]</w:t>
      </w:r>
      <w:r w:rsidR="00987BB5">
        <w:rPr>
          <w:rStyle w:val="FootnoteReference"/>
          <w:rFonts w:ascii="Times" w:hAnsi="Times" w:cs="Times"/>
          <w:i/>
          <w:iCs/>
          <w:szCs w:val="20"/>
        </w:rPr>
        <w:footnoteReference w:id="4"/>
      </w:r>
      <w:r w:rsidR="004972B4">
        <w:rPr>
          <w:rFonts w:ascii="Times" w:hAnsi="Times" w:cs="Times"/>
          <w:szCs w:val="20"/>
        </w:rPr>
        <w:t xml:space="preserve"> </w:t>
      </w:r>
      <w:r w:rsidR="00A82748">
        <w:rPr>
          <w:rFonts w:ascii="Times" w:hAnsi="Times" w:cs="Times"/>
          <w:szCs w:val="20"/>
        </w:rPr>
        <w:t xml:space="preserve">For more information, see </w:t>
      </w:r>
      <w:hyperlink r:id="rId8" w:history="1">
        <w:r w:rsidR="00A82748" w:rsidRPr="003E2FA1">
          <w:rPr>
            <w:rStyle w:val="Hyperlink"/>
            <w:rFonts w:ascii="Times" w:hAnsi="Times" w:cs="Times"/>
            <w:szCs w:val="20"/>
          </w:rPr>
          <w:t>IRS Publication 590-B</w:t>
        </w:r>
      </w:hyperlink>
      <w:r w:rsidR="00A82748">
        <w:rPr>
          <w:rFonts w:ascii="Times" w:hAnsi="Times" w:cs="Times"/>
          <w:szCs w:val="20"/>
        </w:rPr>
        <w:t>.</w:t>
      </w:r>
      <w:r w:rsidR="00E208CB">
        <w:rPr>
          <w:rFonts w:ascii="Times" w:hAnsi="Times" w:cs="Times"/>
          <w:szCs w:val="20"/>
        </w:rPr>
        <w:t xml:space="preserve">  </w:t>
      </w:r>
      <w:r w:rsidR="00082128" w:rsidRPr="00885748">
        <w:rPr>
          <w:rFonts w:ascii="Times" w:hAnsi="Times" w:cs="Times"/>
          <w:i/>
          <w:iCs/>
          <w:szCs w:val="20"/>
        </w:rPr>
        <w:t xml:space="preserve">[Certain beneficiaries of participants who died </w:t>
      </w:r>
      <w:r w:rsidR="00FF59B5" w:rsidRPr="00885748">
        <w:rPr>
          <w:rFonts w:ascii="Times" w:hAnsi="Times" w:cs="Times"/>
          <w:i/>
          <w:iCs/>
          <w:szCs w:val="20"/>
        </w:rPr>
        <w:t xml:space="preserve">during the years 2015-2019 were required to take distribution of their benefits by December 31 of the </w:t>
      </w:r>
      <w:r w:rsidR="00A01334" w:rsidRPr="00885748">
        <w:rPr>
          <w:rFonts w:ascii="Times" w:hAnsi="Times" w:cs="Times"/>
          <w:i/>
          <w:iCs/>
          <w:szCs w:val="20"/>
        </w:rPr>
        <w:t>5</w:t>
      </w:r>
      <w:r w:rsidR="00A01334" w:rsidRPr="00885748">
        <w:rPr>
          <w:rFonts w:ascii="Times" w:hAnsi="Times" w:cs="Times"/>
          <w:i/>
          <w:iCs/>
          <w:szCs w:val="20"/>
          <w:vertAlign w:val="superscript"/>
        </w:rPr>
        <w:t>th</w:t>
      </w:r>
      <w:r w:rsidR="00A01334" w:rsidRPr="00885748">
        <w:rPr>
          <w:rFonts w:ascii="Times" w:hAnsi="Times" w:cs="Times"/>
          <w:i/>
          <w:iCs/>
          <w:szCs w:val="20"/>
        </w:rPr>
        <w:t xml:space="preserve"> year following the year the participant died. These participants can extend the distribution by one year.]</w:t>
      </w:r>
      <w:r w:rsidR="00323636">
        <w:rPr>
          <w:rStyle w:val="FootnoteReference"/>
          <w:rFonts w:ascii="Times" w:hAnsi="Times" w:cs="Times"/>
          <w:szCs w:val="20"/>
        </w:rPr>
        <w:footnoteReference w:id="5"/>
      </w:r>
    </w:p>
    <w:p w14:paraId="0B89EA15" w14:textId="6BEFF456" w:rsidR="00C25AAC" w:rsidRDefault="00C25AAC" w:rsidP="001038B4">
      <w:pPr>
        <w:widowControl/>
        <w:ind w:firstLine="360"/>
        <w:rPr>
          <w:rFonts w:ascii="Times" w:hAnsi="Times" w:cs="Times"/>
          <w:szCs w:val="20"/>
        </w:rPr>
      </w:pPr>
    </w:p>
    <w:p w14:paraId="76C83FF0" w14:textId="50D64589" w:rsidR="00906D3E" w:rsidRDefault="00906D3E" w:rsidP="00906D3E">
      <w:r>
        <w:rPr>
          <w:b/>
          <w:bCs/>
        </w:rPr>
        <w:t>QACA AUTOMATIC DEFERRALS.</w:t>
      </w:r>
      <w:r>
        <w:rPr>
          <w:rStyle w:val="FootnoteReference"/>
          <w:b/>
          <w:bCs/>
        </w:rPr>
        <w:footnoteReference w:id="6"/>
      </w:r>
      <w:r>
        <w:rPr>
          <w:b/>
          <w:bCs/>
        </w:rPr>
        <w:t xml:space="preserve"> </w:t>
      </w:r>
      <w:r>
        <w:t>Th</w:t>
      </w:r>
      <w:r w:rsidR="00502B07">
        <w:t>e P</w:t>
      </w:r>
      <w:r>
        <w:t xml:space="preserve">lan has an automatic contribution arrangement, under which elective deferrals will automatically be withheld from your compensation at a certain rate unless you file an election to defer a different percentage amount (or to defer nothing).  Effective _____________, the automatic deferrals can be as high as 15%, as shown below.  Previously, the limit was 10%.  </w:t>
      </w:r>
    </w:p>
    <w:p w14:paraId="7B49C82E" w14:textId="77777777" w:rsidR="00906D3E" w:rsidRDefault="00906D3E" w:rsidP="00906D3E"/>
    <w:p w14:paraId="58917F6D" w14:textId="77777777" w:rsidR="00906D3E" w:rsidRDefault="00906D3E" w:rsidP="00906D3E">
      <w:r>
        <w:tab/>
        <w:t>[Insert QACA automatic deferral schedule]</w:t>
      </w:r>
    </w:p>
    <w:p w14:paraId="08E7FA97" w14:textId="77777777" w:rsidR="00E63331" w:rsidRDefault="00E63331" w:rsidP="00700B8E">
      <w:pPr>
        <w:widowControl/>
        <w:rPr>
          <w:rFonts w:ascii="Times" w:hAnsi="Times" w:cs="Times"/>
          <w:b/>
          <w:bCs/>
          <w:szCs w:val="20"/>
        </w:rPr>
      </w:pPr>
    </w:p>
    <w:p w14:paraId="4414C04E" w14:textId="3F77B70D" w:rsidR="001038B4" w:rsidRDefault="00140BC8" w:rsidP="00700B8E">
      <w:pPr>
        <w:widowControl/>
        <w:rPr>
          <w:rFonts w:ascii="Times" w:hAnsi="Times" w:cs="Times"/>
          <w:szCs w:val="20"/>
        </w:rPr>
      </w:pPr>
      <w:r>
        <w:rPr>
          <w:rFonts w:ascii="Times" w:hAnsi="Times" w:cs="Times"/>
          <w:b/>
          <w:bCs/>
          <w:szCs w:val="20"/>
        </w:rPr>
        <w:t>IN-SERVICE DISTRIBUTIONS.</w:t>
      </w:r>
      <w:r w:rsidR="00D301DE" w:rsidRPr="00D301DE">
        <w:rPr>
          <w:rStyle w:val="FootnoteReference"/>
          <w:rFonts w:ascii="Times" w:hAnsi="Times" w:cs="Times"/>
          <w:szCs w:val="20"/>
        </w:rPr>
        <w:t xml:space="preserve"> </w:t>
      </w:r>
      <w:r w:rsidR="00D301DE">
        <w:rPr>
          <w:rStyle w:val="FootnoteReference"/>
          <w:rFonts w:ascii="Times" w:hAnsi="Times" w:cs="Times"/>
          <w:szCs w:val="20"/>
        </w:rPr>
        <w:footnoteReference w:id="7"/>
      </w:r>
      <w:r w:rsidR="00D301DE">
        <w:rPr>
          <w:rFonts w:ascii="Times" w:hAnsi="Times" w:cs="Times"/>
          <w:szCs w:val="20"/>
        </w:rPr>
        <w:t xml:space="preserve"> </w:t>
      </w:r>
      <w:r>
        <w:rPr>
          <w:rFonts w:ascii="Times" w:hAnsi="Times" w:cs="Times"/>
          <w:b/>
          <w:bCs/>
          <w:szCs w:val="20"/>
        </w:rPr>
        <w:t xml:space="preserve"> </w:t>
      </w:r>
      <w:r w:rsidR="001038B4">
        <w:rPr>
          <w:rFonts w:ascii="Times" w:hAnsi="Times" w:cs="Times"/>
          <w:szCs w:val="20"/>
        </w:rPr>
        <w:t>Beginning ______________________, a Participant can take an in-service distribution from the Plan</w:t>
      </w:r>
      <w:r w:rsidR="005F0BBB">
        <w:rPr>
          <w:rStyle w:val="FootnoteReference"/>
          <w:rFonts w:ascii="Times" w:hAnsi="Times" w:cs="Times"/>
          <w:szCs w:val="20"/>
        </w:rPr>
        <w:footnoteReference w:id="8"/>
      </w:r>
      <w:r w:rsidR="00480FDD">
        <w:rPr>
          <w:rFonts w:ascii="Times" w:hAnsi="Times" w:cs="Times"/>
          <w:szCs w:val="20"/>
        </w:rPr>
        <w:t xml:space="preserve"> </w:t>
      </w:r>
      <w:r w:rsidR="001038B4">
        <w:rPr>
          <w:rFonts w:ascii="Times" w:hAnsi="Times" w:cs="Times"/>
          <w:szCs w:val="20"/>
        </w:rPr>
        <w:t xml:space="preserve">at age 59½.  The amount of the distribution will be limited to the Participant’s vested accrued benefit or account balance.  It will be subject to all restrictions, procedures, and plan provisions which otherwise apply to in-service distributions. </w:t>
      </w:r>
    </w:p>
    <w:p w14:paraId="6B223CE9" w14:textId="77777777" w:rsidR="001038B4" w:rsidRDefault="001038B4" w:rsidP="001038B4"/>
    <w:p w14:paraId="188BEB9F" w14:textId="269EDA24" w:rsidR="005D56D3" w:rsidRDefault="00E63331" w:rsidP="00073A35">
      <w:r>
        <w:rPr>
          <w:b/>
          <w:bCs/>
        </w:rPr>
        <w:t>LONG-TERM PART-TIME EMPLOYEES.</w:t>
      </w:r>
      <w:r w:rsidR="004A1F55">
        <w:rPr>
          <w:rStyle w:val="FootnoteReference"/>
          <w:b/>
          <w:bCs/>
        </w:rPr>
        <w:footnoteReference w:id="9"/>
      </w:r>
      <w:r>
        <w:t xml:space="preserve">  </w:t>
      </w:r>
      <w:r w:rsidR="00A02A97">
        <w:t xml:space="preserve">LTPT employees are eligible to defer to the plan.  An LTPT Employee is employee </w:t>
      </w:r>
      <w:r w:rsidR="00A16EA4">
        <w:t xml:space="preserve">is an Employee who has not entered the plan as a regular participant, but who is credited with at least </w:t>
      </w:r>
      <w:r w:rsidR="00970EBB">
        <w:t>three consecutive years beginning after December 31, 2020</w:t>
      </w:r>
      <w:r w:rsidR="00EB1D19">
        <w:t xml:space="preserve"> with at least 500 Hours of Service in each </w:t>
      </w:r>
      <w:r w:rsidR="00EB1D19" w:rsidRPr="00AE2914">
        <w:rPr>
          <w:i/>
          <w:iCs/>
        </w:rPr>
        <w:t xml:space="preserve">[and </w:t>
      </w:r>
      <w:r w:rsidR="00EB1D19" w:rsidRPr="00AE2914">
        <w:rPr>
          <w:i/>
          <w:iCs/>
        </w:rPr>
        <w:lastRenderedPageBreak/>
        <w:t>who has attained age 21]</w:t>
      </w:r>
      <w:r w:rsidR="005501AD">
        <w:rPr>
          <w:rStyle w:val="FootnoteReference"/>
        </w:rPr>
        <w:footnoteReference w:id="10"/>
      </w:r>
      <w:r w:rsidR="00EB1D19">
        <w:t>.</w:t>
      </w:r>
      <w:r w:rsidR="00AE2914">
        <w:t xml:space="preserve">  </w:t>
      </w:r>
      <w:r w:rsidR="0078332B">
        <w:t xml:space="preserve">Typically, that means they will not be eligible to defer prior to 2024. </w:t>
      </w:r>
      <w:r w:rsidR="002B2FDE">
        <w:t xml:space="preserve">They will become eligible to defer </w:t>
      </w:r>
      <w:r w:rsidR="005A07F7">
        <w:t xml:space="preserve">on the </w:t>
      </w:r>
      <w:r w:rsidR="005F0DF8">
        <w:t>[</w:t>
      </w:r>
      <w:r w:rsidR="005A07F7" w:rsidRPr="005A07F7">
        <w:rPr>
          <w:i/>
          <w:iCs/>
        </w:rPr>
        <w:t>first day of the first month or seventh month of the Plan Year</w:t>
      </w:r>
      <w:r w:rsidR="005F0DF8">
        <w:rPr>
          <w:i/>
          <w:iCs/>
        </w:rPr>
        <w:t>]</w:t>
      </w:r>
      <w:r w:rsidR="005A07F7">
        <w:rPr>
          <w:rStyle w:val="FootnoteReference"/>
          <w:i/>
          <w:iCs/>
        </w:rPr>
        <w:footnoteReference w:id="11"/>
      </w:r>
      <w:r w:rsidR="005A07F7">
        <w:t xml:space="preserve"> following or coincident with the date they meet the requirements to be an LTPT Employee. </w:t>
      </w:r>
      <w:r w:rsidR="00AE2914">
        <w:t xml:space="preserve">Union employees and </w:t>
      </w:r>
      <w:r w:rsidR="003B1C6E">
        <w:t xml:space="preserve">nonresident aliens are not LTPT employees </w:t>
      </w:r>
      <w:r w:rsidR="003B1C6E" w:rsidRPr="00B75F6C">
        <w:rPr>
          <w:i/>
          <w:iCs/>
        </w:rPr>
        <w:t>[and neither are __________________________]</w:t>
      </w:r>
      <w:r w:rsidR="0092482A">
        <w:rPr>
          <w:rStyle w:val="FootnoteReference"/>
        </w:rPr>
        <w:footnoteReference w:id="12"/>
      </w:r>
      <w:r w:rsidR="008B3009">
        <w:rPr>
          <w:i/>
          <w:iCs/>
        </w:rPr>
        <w:t xml:space="preserve"> </w:t>
      </w:r>
      <w:r w:rsidR="005D2298">
        <w:rPr>
          <w:i/>
          <w:iCs/>
        </w:rPr>
        <w:t xml:space="preserve"> </w:t>
      </w:r>
      <w:r w:rsidR="00055329" w:rsidRPr="00055329">
        <w:rPr>
          <w:i/>
          <w:iCs/>
        </w:rPr>
        <w:t>[</w:t>
      </w:r>
      <w:r w:rsidR="005D2298" w:rsidRPr="00055329">
        <w:rPr>
          <w:i/>
          <w:iCs/>
        </w:rPr>
        <w:t xml:space="preserve">In addition to being able to make elective deferrals, </w:t>
      </w:r>
      <w:r w:rsidR="00397916" w:rsidRPr="00055329">
        <w:rPr>
          <w:i/>
          <w:iCs/>
        </w:rPr>
        <w:t>LTPT employees can receive the following allocations: _____________________</w:t>
      </w:r>
      <w:r w:rsidR="00411B5A">
        <w:rPr>
          <w:i/>
          <w:iCs/>
        </w:rPr>
        <w:t>.</w:t>
      </w:r>
      <w:r w:rsidR="00397916" w:rsidRPr="00055329">
        <w:rPr>
          <w:i/>
          <w:iCs/>
        </w:rPr>
        <w:t>]</w:t>
      </w:r>
      <w:r w:rsidR="00397916">
        <w:rPr>
          <w:rStyle w:val="FootnoteReference"/>
        </w:rPr>
        <w:footnoteReference w:id="13"/>
      </w:r>
      <w:r w:rsidR="00055329">
        <w:t xml:space="preserve">  </w:t>
      </w:r>
      <w:r w:rsidR="009E4F58">
        <w:t xml:space="preserve">LTPT Employees are subject to the same deferral rules which apply to regular participants </w:t>
      </w:r>
      <w:r w:rsidR="009E4F58">
        <w:rPr>
          <w:i/>
          <w:iCs/>
        </w:rPr>
        <w:t>[except as follows</w:t>
      </w:r>
      <w:r w:rsidR="000A687A">
        <w:rPr>
          <w:i/>
          <w:iCs/>
        </w:rPr>
        <w:t>:  ___________________]</w:t>
      </w:r>
      <w:r w:rsidR="000A687A">
        <w:rPr>
          <w:rStyle w:val="FootnoteReference"/>
          <w:i/>
          <w:iCs/>
        </w:rPr>
        <w:footnoteReference w:id="14"/>
      </w:r>
      <w:r w:rsidR="00411B5A">
        <w:rPr>
          <w:i/>
          <w:iCs/>
        </w:rPr>
        <w:t>.</w:t>
      </w:r>
      <w:r w:rsidR="00E34FAE">
        <w:rPr>
          <w:i/>
          <w:iCs/>
        </w:rPr>
        <w:t xml:space="preserve"> </w:t>
      </w:r>
      <w:r w:rsidR="00E34FAE">
        <w:t>A</w:t>
      </w:r>
      <w:r w:rsidR="00932413">
        <w:t>n individual who has entered the plan as an LTPT Employee and later satisfies the normal eligibility requirements will participate thereafter as a regular participant</w:t>
      </w:r>
      <w:r w:rsidR="00073A35">
        <w:t>. I</w:t>
      </w:r>
      <w:r w:rsidR="00B82AD6">
        <w:t xml:space="preserve">ndividuals who </w:t>
      </w:r>
      <w:r w:rsidR="00073A35">
        <w:t>entered the Plan as</w:t>
      </w:r>
      <w:r w:rsidR="00B82AD6">
        <w:t xml:space="preserve"> LTPT </w:t>
      </w:r>
      <w:r w:rsidR="00073A35">
        <w:t>Employees</w:t>
      </w:r>
      <w:r w:rsidR="00B82AD6">
        <w:t xml:space="preserve"> are credited with a Year of Service for each year in which </w:t>
      </w:r>
      <w:r w:rsidR="00BF089C">
        <w:t>they are credited with more than 500 Hours of Service.</w:t>
      </w:r>
      <w:r w:rsidR="005D56D3">
        <w:t xml:space="preserve"> </w:t>
      </w:r>
    </w:p>
    <w:sectPr w:rsidR="005D56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69B5" w14:textId="77777777" w:rsidR="00AE49AB" w:rsidRDefault="00AE49AB" w:rsidP="001038B4">
      <w:r>
        <w:separator/>
      </w:r>
    </w:p>
  </w:endnote>
  <w:endnote w:type="continuationSeparator" w:id="0">
    <w:p w14:paraId="0A6CF408" w14:textId="77777777" w:rsidR="00AE49AB" w:rsidRDefault="00AE49AB" w:rsidP="0010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0B8A" w14:textId="77777777" w:rsidR="00AE49AB" w:rsidRDefault="00AE49AB" w:rsidP="001038B4">
      <w:r>
        <w:separator/>
      </w:r>
    </w:p>
  </w:footnote>
  <w:footnote w:type="continuationSeparator" w:id="0">
    <w:p w14:paraId="26D7CE10" w14:textId="77777777" w:rsidR="00AE49AB" w:rsidRDefault="00AE49AB" w:rsidP="001038B4">
      <w:r>
        <w:continuationSeparator/>
      </w:r>
    </w:p>
  </w:footnote>
  <w:footnote w:id="1">
    <w:p w14:paraId="568A0EED" w14:textId="2904D019" w:rsidR="00FA259A" w:rsidRDefault="00FA259A">
      <w:pPr>
        <w:pStyle w:val="FootnoteText"/>
      </w:pPr>
      <w:r>
        <w:rPr>
          <w:rStyle w:val="FootnoteReference"/>
        </w:rPr>
        <w:footnoteRef/>
      </w:r>
      <w:r>
        <w:t xml:space="preserve"> </w:t>
      </w:r>
      <w:r w:rsidRPr="00FA259A">
        <w:t>This model SMM can be used if an employer uses the Relius SECURE interim amendment</w:t>
      </w:r>
      <w:r>
        <w:t>.</w:t>
      </w:r>
      <w:r w:rsidRPr="00FA259A">
        <w:t xml:space="preserve"> </w:t>
      </w:r>
    </w:p>
  </w:footnote>
  <w:footnote w:id="2">
    <w:p w14:paraId="70DCEF3E" w14:textId="77777777" w:rsidR="009F58CA" w:rsidRDefault="009F58CA" w:rsidP="009F58CA">
      <w:pPr>
        <w:pStyle w:val="FootnoteText"/>
      </w:pPr>
      <w:r>
        <w:rPr>
          <w:rStyle w:val="FootnoteReference"/>
        </w:rPr>
        <w:footnoteRef/>
      </w:r>
      <w:r>
        <w:t xml:space="preserve"> Include this paragraph only if you select 2.4(a).</w:t>
      </w:r>
    </w:p>
  </w:footnote>
  <w:footnote w:id="3">
    <w:p w14:paraId="66D31ABA" w14:textId="77777777" w:rsidR="009F58CA" w:rsidRDefault="009F58CA" w:rsidP="009F58CA">
      <w:pPr>
        <w:pStyle w:val="FootnoteText"/>
      </w:pPr>
      <w:r>
        <w:rPr>
          <w:rStyle w:val="FootnoteReference"/>
        </w:rPr>
        <w:footnoteRef/>
      </w:r>
      <w:r>
        <w:t xml:space="preserve"> Delete or modify these sentences as appropriate based on your selections in 2.4.</w:t>
      </w:r>
    </w:p>
  </w:footnote>
  <w:footnote w:id="4">
    <w:p w14:paraId="24073569" w14:textId="1510150F" w:rsidR="00987BB5" w:rsidRDefault="00987BB5">
      <w:pPr>
        <w:pStyle w:val="FootnoteText"/>
      </w:pPr>
      <w:r>
        <w:rPr>
          <w:rStyle w:val="FootnoteReference"/>
        </w:rPr>
        <w:footnoteRef/>
      </w:r>
      <w:r>
        <w:t xml:space="preserve"> </w:t>
      </w:r>
      <w:r w:rsidR="00EF6037">
        <w:t>Modify</w:t>
      </w:r>
      <w:r w:rsidR="006938FB">
        <w:t xml:space="preserve"> these two sentences </w:t>
      </w:r>
      <w:r w:rsidR="004172F6">
        <w:t xml:space="preserve">to reflect effective dates </w:t>
      </w:r>
      <w:r w:rsidR="006938FB">
        <w:t>if you select 2.5(a).</w:t>
      </w:r>
    </w:p>
  </w:footnote>
  <w:footnote w:id="5">
    <w:p w14:paraId="5F7A3E1E" w14:textId="21CC065D" w:rsidR="00323636" w:rsidRDefault="00323636">
      <w:pPr>
        <w:pStyle w:val="FootnoteText"/>
      </w:pPr>
      <w:r>
        <w:rPr>
          <w:rStyle w:val="FootnoteReference"/>
        </w:rPr>
        <w:footnoteRef/>
      </w:r>
      <w:r>
        <w:t xml:space="preserve"> Delete these two sentences if you select 2.7</w:t>
      </w:r>
      <w:r w:rsidR="00885748">
        <w:t>(b)</w:t>
      </w:r>
      <w:r w:rsidR="00D93BE3">
        <w:t>, or if the plan is a defined benefit plan or a 457(b) plan sponsored by a tax-exempt employer.</w:t>
      </w:r>
    </w:p>
  </w:footnote>
  <w:footnote w:id="6">
    <w:p w14:paraId="60D25608" w14:textId="77777777" w:rsidR="00906D3E" w:rsidRDefault="00906D3E" w:rsidP="00906D3E">
      <w:pPr>
        <w:pStyle w:val="FootnoteText"/>
      </w:pPr>
      <w:r>
        <w:rPr>
          <w:rStyle w:val="FootnoteReference"/>
        </w:rPr>
        <w:footnoteRef/>
      </w:r>
      <w:r>
        <w:t xml:space="preserve"> Include this paragraph only if you select 2.9(a).  </w:t>
      </w:r>
    </w:p>
  </w:footnote>
  <w:footnote w:id="7">
    <w:p w14:paraId="04CAC0F5" w14:textId="015FB5F7" w:rsidR="00D301DE" w:rsidRDefault="00D301DE" w:rsidP="00D301DE">
      <w:pPr>
        <w:pStyle w:val="FootnoteText"/>
      </w:pPr>
      <w:r>
        <w:rPr>
          <w:rStyle w:val="FootnoteReference"/>
        </w:rPr>
        <w:footnoteRef/>
      </w:r>
      <w:r>
        <w:t xml:space="preserve"> Include this paragraph only if you select 2.10(a).  Modify as needed depending on select</w:t>
      </w:r>
      <w:r w:rsidR="008C5A5E">
        <w:t>ions</w:t>
      </w:r>
      <w:r>
        <w:t xml:space="preserve"> in 2.10</w:t>
      </w:r>
    </w:p>
  </w:footnote>
  <w:footnote w:id="8">
    <w:p w14:paraId="6EB63B1F" w14:textId="4ABC39A7" w:rsidR="005F0BBB" w:rsidRDefault="005F0BBB">
      <w:pPr>
        <w:pStyle w:val="FootnoteText"/>
      </w:pPr>
      <w:r>
        <w:rPr>
          <w:rStyle w:val="FootnoteReference"/>
        </w:rPr>
        <w:footnoteRef/>
      </w:r>
      <w:r>
        <w:t xml:space="preserve"> </w:t>
      </w:r>
      <w:r w:rsidR="00E264B5">
        <w:t>If this is a profit-sharing or 401(k) plan</w:t>
      </w:r>
      <w:r w:rsidR="00FC072E">
        <w:t xml:space="preserve">, in place of the words “the Plan” substitute “an account transferred from a </w:t>
      </w:r>
      <w:r w:rsidR="00886F81">
        <w:t>pension plan”</w:t>
      </w:r>
    </w:p>
  </w:footnote>
  <w:footnote w:id="9">
    <w:p w14:paraId="5CC4D219" w14:textId="69B12EC1" w:rsidR="004A1F55" w:rsidRDefault="004A1F55">
      <w:pPr>
        <w:pStyle w:val="FootnoteText"/>
      </w:pPr>
      <w:r>
        <w:rPr>
          <w:rStyle w:val="FootnoteReference"/>
        </w:rPr>
        <w:footnoteRef/>
      </w:r>
      <w:r>
        <w:t xml:space="preserve"> </w:t>
      </w:r>
      <w:r w:rsidR="00C90F12">
        <w:t>Delete</w:t>
      </w:r>
      <w:r>
        <w:t xml:space="preserve"> this section only if the plan is </w:t>
      </w:r>
      <w:r w:rsidR="00C90F12">
        <w:t xml:space="preserve">not </w:t>
      </w:r>
      <w:r>
        <w:t>a 401(k) plan.</w:t>
      </w:r>
    </w:p>
  </w:footnote>
  <w:footnote w:id="10">
    <w:p w14:paraId="5902DA42" w14:textId="240E00FF" w:rsidR="005501AD" w:rsidRDefault="005501AD">
      <w:pPr>
        <w:pStyle w:val="FootnoteText"/>
      </w:pPr>
      <w:r>
        <w:rPr>
          <w:rStyle w:val="FootnoteReference"/>
        </w:rPr>
        <w:footnoteRef/>
      </w:r>
      <w:r>
        <w:t xml:space="preserve"> Modify as needed based on </w:t>
      </w:r>
      <w:r w:rsidR="00AE2914">
        <w:t>your selection at 2.8(e).</w:t>
      </w:r>
    </w:p>
  </w:footnote>
  <w:footnote w:id="11">
    <w:p w14:paraId="5C7400E6" w14:textId="0845DF2A" w:rsidR="005A07F7" w:rsidRDefault="005A07F7">
      <w:pPr>
        <w:pStyle w:val="FootnoteText"/>
      </w:pPr>
      <w:r>
        <w:rPr>
          <w:rStyle w:val="FootnoteReference"/>
        </w:rPr>
        <w:footnoteRef/>
      </w:r>
      <w:r>
        <w:t xml:space="preserve"> Modify </w:t>
      </w:r>
      <w:r w:rsidR="005F0DF8">
        <w:t>as needed depending on selection in 2.8(c).</w:t>
      </w:r>
    </w:p>
  </w:footnote>
  <w:footnote w:id="12">
    <w:p w14:paraId="4990CCB6" w14:textId="1BABB040" w:rsidR="0092482A" w:rsidRDefault="0092482A">
      <w:pPr>
        <w:pStyle w:val="FootnoteText"/>
      </w:pPr>
      <w:r>
        <w:rPr>
          <w:rStyle w:val="FootnoteReference"/>
        </w:rPr>
        <w:footnoteRef/>
      </w:r>
      <w:r>
        <w:t xml:space="preserve"> Describe LTPT exclusions</w:t>
      </w:r>
      <w:r w:rsidR="00B75F6C">
        <w:t>, if any,</w:t>
      </w:r>
      <w:r>
        <w:t xml:space="preserve"> specified in 2.8(d).</w:t>
      </w:r>
    </w:p>
  </w:footnote>
  <w:footnote w:id="13">
    <w:p w14:paraId="4E335037" w14:textId="3EB4FAB8" w:rsidR="00397916" w:rsidRDefault="00397916">
      <w:pPr>
        <w:pStyle w:val="FootnoteText"/>
      </w:pPr>
      <w:r>
        <w:rPr>
          <w:rStyle w:val="FootnoteReference"/>
        </w:rPr>
        <w:footnoteRef/>
      </w:r>
      <w:r>
        <w:t xml:space="preserve"> </w:t>
      </w:r>
      <w:r w:rsidR="00147BEA">
        <w:t>Describe additional contributions specified in 2.8(a).  Delete this sentence if 2.8(a) is not selected.</w:t>
      </w:r>
    </w:p>
  </w:footnote>
  <w:footnote w:id="14">
    <w:p w14:paraId="76EA935E" w14:textId="3BCDCE9A" w:rsidR="000A687A" w:rsidRDefault="000A687A">
      <w:pPr>
        <w:pStyle w:val="FootnoteText"/>
      </w:pPr>
      <w:r>
        <w:rPr>
          <w:rStyle w:val="FootnoteReference"/>
        </w:rPr>
        <w:footnoteRef/>
      </w:r>
      <w:r>
        <w:t xml:space="preserve"> Describe differences specified in 2.8(b), if any</w:t>
      </w:r>
      <w:r w:rsidR="00411B5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865"/>
    <w:multiLevelType w:val="hybridMultilevel"/>
    <w:tmpl w:val="7B7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C5CF0"/>
    <w:multiLevelType w:val="hybridMultilevel"/>
    <w:tmpl w:val="4C2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24BEB"/>
    <w:multiLevelType w:val="hybridMultilevel"/>
    <w:tmpl w:val="758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182628">
    <w:abstractNumId w:val="1"/>
  </w:num>
  <w:num w:numId="2" w16cid:durableId="1218786616">
    <w:abstractNumId w:val="2"/>
  </w:num>
  <w:num w:numId="3" w16cid:durableId="1278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2CAAF2-1636-4AB2-92B8-7123B20FD621}"/>
    <w:docVar w:name="dgnword-eventsink" w:val="2301365386976"/>
  </w:docVars>
  <w:rsids>
    <w:rsidRoot w:val="001038B4"/>
    <w:rsid w:val="00022C2C"/>
    <w:rsid w:val="00046E7F"/>
    <w:rsid w:val="00055329"/>
    <w:rsid w:val="00073A35"/>
    <w:rsid w:val="00080CFC"/>
    <w:rsid w:val="00082128"/>
    <w:rsid w:val="000A687A"/>
    <w:rsid w:val="00100224"/>
    <w:rsid w:val="001038B4"/>
    <w:rsid w:val="00113745"/>
    <w:rsid w:val="001303F9"/>
    <w:rsid w:val="001363CA"/>
    <w:rsid w:val="00140BC8"/>
    <w:rsid w:val="00147BEA"/>
    <w:rsid w:val="001605AB"/>
    <w:rsid w:val="0017317E"/>
    <w:rsid w:val="001745D6"/>
    <w:rsid w:val="001B3C3B"/>
    <w:rsid w:val="00223768"/>
    <w:rsid w:val="00225E3E"/>
    <w:rsid w:val="002516C0"/>
    <w:rsid w:val="00255760"/>
    <w:rsid w:val="00280FDB"/>
    <w:rsid w:val="002B2FDE"/>
    <w:rsid w:val="002B4B24"/>
    <w:rsid w:val="002C1A6A"/>
    <w:rsid w:val="002D5E37"/>
    <w:rsid w:val="00307F02"/>
    <w:rsid w:val="00323636"/>
    <w:rsid w:val="00341EC3"/>
    <w:rsid w:val="00354E17"/>
    <w:rsid w:val="00356B40"/>
    <w:rsid w:val="00363C99"/>
    <w:rsid w:val="00373B52"/>
    <w:rsid w:val="00376C9B"/>
    <w:rsid w:val="0038656E"/>
    <w:rsid w:val="00392557"/>
    <w:rsid w:val="00397916"/>
    <w:rsid w:val="003B1C6E"/>
    <w:rsid w:val="003C17A1"/>
    <w:rsid w:val="003E2FA1"/>
    <w:rsid w:val="003E7D07"/>
    <w:rsid w:val="00411B5A"/>
    <w:rsid w:val="004172F6"/>
    <w:rsid w:val="00420527"/>
    <w:rsid w:val="0046116F"/>
    <w:rsid w:val="00480FDD"/>
    <w:rsid w:val="0049445B"/>
    <w:rsid w:val="004972B4"/>
    <w:rsid w:val="004A1F55"/>
    <w:rsid w:val="004C04E5"/>
    <w:rsid w:val="00502B07"/>
    <w:rsid w:val="005501AD"/>
    <w:rsid w:val="00592F76"/>
    <w:rsid w:val="005A07F7"/>
    <w:rsid w:val="005C7DCD"/>
    <w:rsid w:val="005D2298"/>
    <w:rsid w:val="005D4794"/>
    <w:rsid w:val="005D56D3"/>
    <w:rsid w:val="005D7F7C"/>
    <w:rsid w:val="005E36FD"/>
    <w:rsid w:val="005F083D"/>
    <w:rsid w:val="005F0BBB"/>
    <w:rsid w:val="005F0DF8"/>
    <w:rsid w:val="006313DB"/>
    <w:rsid w:val="00641382"/>
    <w:rsid w:val="006938FB"/>
    <w:rsid w:val="00693DBF"/>
    <w:rsid w:val="006A58EC"/>
    <w:rsid w:val="006A7279"/>
    <w:rsid w:val="006B6760"/>
    <w:rsid w:val="006C7070"/>
    <w:rsid w:val="006D4896"/>
    <w:rsid w:val="006D5D9E"/>
    <w:rsid w:val="00700B8E"/>
    <w:rsid w:val="007170B5"/>
    <w:rsid w:val="0078332B"/>
    <w:rsid w:val="007844EB"/>
    <w:rsid w:val="007A3E2E"/>
    <w:rsid w:val="007F6389"/>
    <w:rsid w:val="00820DAE"/>
    <w:rsid w:val="00830206"/>
    <w:rsid w:val="00871D26"/>
    <w:rsid w:val="00885748"/>
    <w:rsid w:val="00886F81"/>
    <w:rsid w:val="008B3009"/>
    <w:rsid w:val="008C5A5E"/>
    <w:rsid w:val="00900342"/>
    <w:rsid w:val="00906D3E"/>
    <w:rsid w:val="0092482A"/>
    <w:rsid w:val="00932413"/>
    <w:rsid w:val="00945BA2"/>
    <w:rsid w:val="00956768"/>
    <w:rsid w:val="00970EBB"/>
    <w:rsid w:val="00977E0D"/>
    <w:rsid w:val="00987BB5"/>
    <w:rsid w:val="009A0E03"/>
    <w:rsid w:val="009D7045"/>
    <w:rsid w:val="009E2054"/>
    <w:rsid w:val="009E4F58"/>
    <w:rsid w:val="009F3DEA"/>
    <w:rsid w:val="009F58CA"/>
    <w:rsid w:val="009F7596"/>
    <w:rsid w:val="00A01334"/>
    <w:rsid w:val="00A02A97"/>
    <w:rsid w:val="00A14AD2"/>
    <w:rsid w:val="00A16EA4"/>
    <w:rsid w:val="00A34F6C"/>
    <w:rsid w:val="00A40A02"/>
    <w:rsid w:val="00A71475"/>
    <w:rsid w:val="00A82748"/>
    <w:rsid w:val="00AB39BD"/>
    <w:rsid w:val="00AE2914"/>
    <w:rsid w:val="00AE38F5"/>
    <w:rsid w:val="00AE49AB"/>
    <w:rsid w:val="00B03E36"/>
    <w:rsid w:val="00B46BBD"/>
    <w:rsid w:val="00B47103"/>
    <w:rsid w:val="00B5756A"/>
    <w:rsid w:val="00B75F6C"/>
    <w:rsid w:val="00B82AD6"/>
    <w:rsid w:val="00BA1F4B"/>
    <w:rsid w:val="00BC682B"/>
    <w:rsid w:val="00BD5330"/>
    <w:rsid w:val="00BD5BCF"/>
    <w:rsid w:val="00BD7F15"/>
    <w:rsid w:val="00BE3A6A"/>
    <w:rsid w:val="00BE7412"/>
    <w:rsid w:val="00BF089C"/>
    <w:rsid w:val="00BF3E79"/>
    <w:rsid w:val="00C027A3"/>
    <w:rsid w:val="00C25AAC"/>
    <w:rsid w:val="00C44F71"/>
    <w:rsid w:val="00C62016"/>
    <w:rsid w:val="00C90F12"/>
    <w:rsid w:val="00CE043C"/>
    <w:rsid w:val="00CF2374"/>
    <w:rsid w:val="00D01938"/>
    <w:rsid w:val="00D301DE"/>
    <w:rsid w:val="00D303D0"/>
    <w:rsid w:val="00D5578C"/>
    <w:rsid w:val="00D825BD"/>
    <w:rsid w:val="00D92489"/>
    <w:rsid w:val="00D930D7"/>
    <w:rsid w:val="00D93BE3"/>
    <w:rsid w:val="00DC57B9"/>
    <w:rsid w:val="00DD0425"/>
    <w:rsid w:val="00E07248"/>
    <w:rsid w:val="00E208CB"/>
    <w:rsid w:val="00E264B5"/>
    <w:rsid w:val="00E34FAE"/>
    <w:rsid w:val="00E359B0"/>
    <w:rsid w:val="00E37AF4"/>
    <w:rsid w:val="00E63331"/>
    <w:rsid w:val="00E66B55"/>
    <w:rsid w:val="00E87CA8"/>
    <w:rsid w:val="00EB1D19"/>
    <w:rsid w:val="00EF6037"/>
    <w:rsid w:val="00F23E9E"/>
    <w:rsid w:val="00F61F61"/>
    <w:rsid w:val="00F62EF3"/>
    <w:rsid w:val="00F906D4"/>
    <w:rsid w:val="00FA259A"/>
    <w:rsid w:val="00FA69A4"/>
    <w:rsid w:val="00FB18CD"/>
    <w:rsid w:val="00FC072E"/>
    <w:rsid w:val="00FC7638"/>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8AB3"/>
  <w15:chartTrackingRefBased/>
  <w15:docId w15:val="{AFC2512A-472E-490D-87B7-F97118DF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B4"/>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38B4"/>
    <w:rPr>
      <w:szCs w:val="20"/>
    </w:rPr>
  </w:style>
  <w:style w:type="character" w:customStyle="1" w:styleId="FootnoteTextChar">
    <w:name w:val="Footnote Text Char"/>
    <w:basedOn w:val="DefaultParagraphFont"/>
    <w:link w:val="FootnoteText"/>
    <w:uiPriority w:val="99"/>
    <w:semiHidden/>
    <w:rsid w:val="001038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38B4"/>
    <w:rPr>
      <w:vertAlign w:val="superscript"/>
    </w:rPr>
  </w:style>
  <w:style w:type="paragraph" w:styleId="EndnoteText">
    <w:name w:val="endnote text"/>
    <w:basedOn w:val="Normal"/>
    <w:link w:val="EndnoteTextChar"/>
    <w:uiPriority w:val="99"/>
    <w:semiHidden/>
    <w:unhideWhenUsed/>
    <w:rsid w:val="00100224"/>
    <w:pPr>
      <w:widowControl/>
      <w:autoSpaceDE/>
      <w:autoSpaceDN/>
    </w:pPr>
    <w:rPr>
      <w:rFonts w:ascii="Century Schoolbook" w:eastAsiaTheme="minorHAnsi" w:hAnsi="Century Schoolbook" w:cstheme="minorBidi"/>
      <w:szCs w:val="20"/>
    </w:rPr>
  </w:style>
  <w:style w:type="character" w:customStyle="1" w:styleId="EndnoteTextChar">
    <w:name w:val="Endnote Text Char"/>
    <w:basedOn w:val="DefaultParagraphFont"/>
    <w:link w:val="EndnoteText"/>
    <w:uiPriority w:val="99"/>
    <w:semiHidden/>
    <w:rsid w:val="00100224"/>
    <w:rPr>
      <w:rFonts w:ascii="Century Schoolbook" w:hAnsi="Century Schoolbook"/>
      <w:sz w:val="20"/>
      <w:szCs w:val="20"/>
    </w:rPr>
  </w:style>
  <w:style w:type="character" w:styleId="EndnoteReference">
    <w:name w:val="endnote reference"/>
    <w:basedOn w:val="DefaultParagraphFont"/>
    <w:uiPriority w:val="99"/>
    <w:semiHidden/>
    <w:unhideWhenUsed/>
    <w:rsid w:val="00100224"/>
    <w:rPr>
      <w:vertAlign w:val="superscript"/>
    </w:rPr>
  </w:style>
  <w:style w:type="character" w:styleId="CommentReference">
    <w:name w:val="annotation reference"/>
    <w:basedOn w:val="DefaultParagraphFont"/>
    <w:uiPriority w:val="99"/>
    <w:semiHidden/>
    <w:unhideWhenUsed/>
    <w:rsid w:val="00F23E9E"/>
    <w:rPr>
      <w:sz w:val="16"/>
      <w:szCs w:val="16"/>
    </w:rPr>
  </w:style>
  <w:style w:type="paragraph" w:styleId="CommentText">
    <w:name w:val="annotation text"/>
    <w:basedOn w:val="Normal"/>
    <w:link w:val="CommentTextChar"/>
    <w:uiPriority w:val="99"/>
    <w:semiHidden/>
    <w:unhideWhenUsed/>
    <w:rsid w:val="00F23E9E"/>
    <w:rPr>
      <w:szCs w:val="20"/>
    </w:rPr>
  </w:style>
  <w:style w:type="character" w:customStyle="1" w:styleId="CommentTextChar">
    <w:name w:val="Comment Text Char"/>
    <w:basedOn w:val="DefaultParagraphFont"/>
    <w:link w:val="CommentText"/>
    <w:uiPriority w:val="99"/>
    <w:semiHidden/>
    <w:rsid w:val="00F23E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E9E"/>
    <w:rPr>
      <w:b/>
      <w:bCs/>
    </w:rPr>
  </w:style>
  <w:style w:type="character" w:customStyle="1" w:styleId="CommentSubjectChar">
    <w:name w:val="Comment Subject Char"/>
    <w:basedOn w:val="CommentTextChar"/>
    <w:link w:val="CommentSubject"/>
    <w:uiPriority w:val="99"/>
    <w:semiHidden/>
    <w:rsid w:val="00F23E9E"/>
    <w:rPr>
      <w:rFonts w:ascii="Times New Roman" w:eastAsia="Times New Roman" w:hAnsi="Times New Roman" w:cs="Times New Roman"/>
      <w:b/>
      <w:bCs/>
      <w:sz w:val="20"/>
      <w:szCs w:val="20"/>
    </w:rPr>
  </w:style>
  <w:style w:type="paragraph" w:styleId="ListParagraph">
    <w:name w:val="List Paragraph"/>
    <w:basedOn w:val="Normal"/>
    <w:uiPriority w:val="34"/>
    <w:qFormat/>
    <w:rsid w:val="003E7D07"/>
    <w:pPr>
      <w:ind w:left="720"/>
      <w:contextualSpacing/>
    </w:pPr>
  </w:style>
  <w:style w:type="paragraph" w:styleId="Revision">
    <w:name w:val="Revision"/>
    <w:hidden/>
    <w:uiPriority w:val="99"/>
    <w:semiHidden/>
    <w:rsid w:val="00FA69A4"/>
    <w:pPr>
      <w:spacing w:after="0" w:line="240" w:lineRule="auto"/>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3E2FA1"/>
    <w:rPr>
      <w:color w:val="0563C1" w:themeColor="hyperlink"/>
      <w:u w:val="single"/>
    </w:rPr>
  </w:style>
  <w:style w:type="character" w:styleId="UnresolvedMention">
    <w:name w:val="Unresolved Mention"/>
    <w:basedOn w:val="DefaultParagraphFont"/>
    <w:uiPriority w:val="99"/>
    <w:semiHidden/>
    <w:unhideWhenUsed/>
    <w:rsid w:val="003E2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lications/p590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6D59-C68C-4224-B2F4-D9B0F75D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McNamara, Dan</cp:lastModifiedBy>
  <cp:revision>2</cp:revision>
  <dcterms:created xsi:type="dcterms:W3CDTF">2022-08-09T14:39:00Z</dcterms:created>
  <dcterms:modified xsi:type="dcterms:W3CDTF">2022-08-09T14:39:00Z</dcterms:modified>
</cp:coreProperties>
</file>