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AB38" w14:textId="77777777" w:rsidR="00D75D7B" w:rsidRPr="00D75D7B" w:rsidRDefault="00D75D7B" w:rsidP="00D75D7B">
      <w:pPr>
        <w:widowControl/>
        <w:jc w:val="center"/>
        <w:rPr>
          <w:b/>
          <w:bCs/>
          <w:szCs w:val="20"/>
        </w:rPr>
      </w:pPr>
      <w:r w:rsidRPr="00D75D7B">
        <w:rPr>
          <w:b/>
          <w:bCs/>
          <w:szCs w:val="20"/>
        </w:rPr>
        <w:t>AMENDMENT TO PROVIDE FOR MULTIPLE EMPLOYER PLAN</w:t>
      </w:r>
    </w:p>
    <w:p w14:paraId="363D7682" w14:textId="77777777" w:rsidR="00D75D7B" w:rsidRPr="00D75D7B" w:rsidRDefault="00D75D7B" w:rsidP="00D75D7B">
      <w:pPr>
        <w:widowControl/>
        <w:jc w:val="center"/>
        <w:rPr>
          <w:b/>
          <w:bCs/>
          <w:szCs w:val="20"/>
        </w:rPr>
      </w:pPr>
      <w:r w:rsidRPr="00D75D7B">
        <w:rPr>
          <w:b/>
          <w:bCs/>
          <w:szCs w:val="20"/>
        </w:rPr>
        <w:t>(INCLUDING A POOLED EMPLOYER PLAN)</w:t>
      </w:r>
    </w:p>
    <w:p w14:paraId="0796E20F" w14:textId="77777777" w:rsidR="001B6BA2" w:rsidRPr="001F1723" w:rsidRDefault="001B6BA2">
      <w:pPr>
        <w:rPr>
          <w:bCs/>
          <w:szCs w:val="20"/>
        </w:rPr>
      </w:pPr>
    </w:p>
    <w:p w14:paraId="426B0E20" w14:textId="77777777" w:rsidR="001B6BA2" w:rsidRPr="001F1723" w:rsidRDefault="001B6BA2">
      <w:pPr>
        <w:jc w:val="center"/>
        <w:rPr>
          <w:b/>
          <w:bCs/>
          <w:szCs w:val="20"/>
        </w:rPr>
      </w:pPr>
      <w:r w:rsidRPr="001F1723">
        <w:rPr>
          <w:b/>
          <w:bCs/>
          <w:szCs w:val="20"/>
        </w:rPr>
        <w:t>Instructions</w:t>
      </w:r>
    </w:p>
    <w:p w14:paraId="2009AFB4" w14:textId="77777777" w:rsidR="001B6BA2" w:rsidRPr="001F1723" w:rsidRDefault="001B6BA2">
      <w:pPr>
        <w:jc w:val="center"/>
        <w:rPr>
          <w:b/>
          <w:bCs/>
          <w:szCs w:val="20"/>
        </w:rPr>
      </w:pPr>
    </w:p>
    <w:p w14:paraId="618A7360" w14:textId="298C6390" w:rsidR="00F11B18" w:rsidRDefault="00F11B18" w:rsidP="00F11B18">
      <w:pPr>
        <w:rPr>
          <w:bCs/>
          <w:iCs/>
          <w:szCs w:val="20"/>
        </w:rPr>
      </w:pPr>
      <w:r w:rsidRPr="00F11B18">
        <w:rPr>
          <w:bCs/>
          <w:iCs/>
          <w:szCs w:val="20"/>
        </w:rPr>
        <w:t xml:space="preserve">FIS has developed an amendment which may be used to update </w:t>
      </w:r>
      <w:r w:rsidR="00121CF2">
        <w:rPr>
          <w:bCs/>
          <w:iCs/>
          <w:szCs w:val="20"/>
        </w:rPr>
        <w:t xml:space="preserve">a multiple employer </w:t>
      </w:r>
      <w:r w:rsidR="00901FB6">
        <w:rPr>
          <w:bCs/>
          <w:iCs/>
          <w:szCs w:val="20"/>
        </w:rPr>
        <w:t xml:space="preserve">qualified </w:t>
      </w:r>
      <w:r w:rsidR="00121CF2">
        <w:rPr>
          <w:bCs/>
          <w:iCs/>
          <w:szCs w:val="20"/>
        </w:rPr>
        <w:t>defined contribution plan for the pooled employer plan (PEP) provisions of SECURE Act §101.</w:t>
      </w:r>
      <w:r w:rsidR="00317FB1">
        <w:rPr>
          <w:bCs/>
          <w:iCs/>
          <w:szCs w:val="20"/>
        </w:rPr>
        <w:t xml:space="preserve"> </w:t>
      </w:r>
      <w:r w:rsidR="001411DD">
        <w:rPr>
          <w:bCs/>
          <w:iCs/>
          <w:szCs w:val="20"/>
        </w:rPr>
        <w:t xml:space="preserve">PEPs and certain other MEPs can also use this amendment to comply with the IRS proposed regulations </w:t>
      </w:r>
      <w:r w:rsidR="00832B73">
        <w:rPr>
          <w:bCs/>
          <w:iCs/>
          <w:szCs w:val="20"/>
        </w:rPr>
        <w:t>under Code §413(e) to have relief from the unified plan rule, sometimes known as the “one bad apple” rule.</w:t>
      </w:r>
      <w:r w:rsidR="00121CF2">
        <w:rPr>
          <w:bCs/>
          <w:iCs/>
          <w:szCs w:val="20"/>
        </w:rPr>
        <w:t xml:space="preserve">  </w:t>
      </w:r>
      <w:r w:rsidR="00901FB6">
        <w:rPr>
          <w:bCs/>
          <w:iCs/>
          <w:szCs w:val="20"/>
        </w:rPr>
        <w:t xml:space="preserve">403(b) plans cannot use </w:t>
      </w:r>
      <w:r w:rsidR="00832B73">
        <w:rPr>
          <w:bCs/>
          <w:iCs/>
          <w:szCs w:val="20"/>
        </w:rPr>
        <w:t>this amendment</w:t>
      </w:r>
      <w:r w:rsidR="00901FB6">
        <w:rPr>
          <w:bCs/>
          <w:iCs/>
          <w:szCs w:val="20"/>
        </w:rPr>
        <w:t>.</w:t>
      </w:r>
      <w:r w:rsidR="00527A6F">
        <w:rPr>
          <w:bCs/>
          <w:iCs/>
          <w:szCs w:val="20"/>
        </w:rPr>
        <w:t xml:space="preserve"> This document explains the use of this amendment.</w:t>
      </w:r>
    </w:p>
    <w:p w14:paraId="1B8FD2A0" w14:textId="77777777" w:rsidR="00F11B18" w:rsidRPr="001F1723" w:rsidRDefault="00F11B18" w:rsidP="00F11B18">
      <w:pPr>
        <w:rPr>
          <w:bCs/>
          <w:iCs/>
          <w:szCs w:val="20"/>
        </w:rPr>
      </w:pPr>
    </w:p>
    <w:p w14:paraId="6987CF52" w14:textId="16FA21D8" w:rsidR="00026565" w:rsidRPr="00026565" w:rsidRDefault="00A1280B" w:rsidP="00026565">
      <w:pPr>
        <w:rPr>
          <w:b/>
          <w:szCs w:val="20"/>
        </w:rPr>
      </w:pPr>
      <w:r>
        <w:rPr>
          <w:b/>
          <w:szCs w:val="20"/>
        </w:rPr>
        <w:t>What is a PEP</w:t>
      </w:r>
      <w:r w:rsidR="008C2281">
        <w:rPr>
          <w:b/>
          <w:szCs w:val="20"/>
        </w:rPr>
        <w:t xml:space="preserve"> and a PPP</w:t>
      </w:r>
      <w:r w:rsidR="00026565" w:rsidRPr="00026565">
        <w:rPr>
          <w:b/>
          <w:szCs w:val="20"/>
        </w:rPr>
        <w:t>?</w:t>
      </w:r>
    </w:p>
    <w:p w14:paraId="1A296132" w14:textId="77777777" w:rsidR="00026565" w:rsidRPr="00026565" w:rsidRDefault="00026565" w:rsidP="00026565">
      <w:pPr>
        <w:rPr>
          <w:bCs/>
          <w:szCs w:val="20"/>
        </w:rPr>
      </w:pPr>
    </w:p>
    <w:p w14:paraId="40827DED" w14:textId="202DBCDB" w:rsidR="00026565" w:rsidRDefault="00A1280B" w:rsidP="00026565">
      <w:pPr>
        <w:rPr>
          <w:bCs/>
          <w:szCs w:val="20"/>
        </w:rPr>
      </w:pPr>
      <w:r>
        <w:rPr>
          <w:bCs/>
          <w:szCs w:val="20"/>
        </w:rPr>
        <w:t xml:space="preserve">A </w:t>
      </w:r>
      <w:r w:rsidR="00CE5AEA">
        <w:rPr>
          <w:bCs/>
          <w:szCs w:val="20"/>
        </w:rPr>
        <w:t>pooled employer plan, or “</w:t>
      </w:r>
      <w:r>
        <w:rPr>
          <w:bCs/>
          <w:szCs w:val="20"/>
        </w:rPr>
        <w:t>PEP</w:t>
      </w:r>
      <w:r w:rsidR="00CE5AEA">
        <w:rPr>
          <w:bCs/>
          <w:szCs w:val="20"/>
        </w:rPr>
        <w:t>”</w:t>
      </w:r>
      <w:r>
        <w:rPr>
          <w:bCs/>
          <w:szCs w:val="20"/>
        </w:rPr>
        <w:t xml:space="preserve"> is a </w:t>
      </w:r>
      <w:r w:rsidR="008464AA">
        <w:rPr>
          <w:bCs/>
          <w:szCs w:val="20"/>
        </w:rPr>
        <w:t xml:space="preserve">type of </w:t>
      </w:r>
      <w:r w:rsidR="0077315C">
        <w:rPr>
          <w:bCs/>
          <w:szCs w:val="20"/>
        </w:rPr>
        <w:t xml:space="preserve">multiple </w:t>
      </w:r>
      <w:r>
        <w:rPr>
          <w:bCs/>
          <w:szCs w:val="20"/>
        </w:rPr>
        <w:t xml:space="preserve">employer plan </w:t>
      </w:r>
      <w:r w:rsidR="008464AA">
        <w:rPr>
          <w:bCs/>
          <w:szCs w:val="20"/>
        </w:rPr>
        <w:t xml:space="preserve">(MEP) </w:t>
      </w:r>
      <w:r>
        <w:rPr>
          <w:bCs/>
          <w:szCs w:val="20"/>
        </w:rPr>
        <w:t xml:space="preserve">operating under ERISA §3(43) and Code §413(e).  The Named Fiduciary and Plan Administrator of the PEP is the Pooled Plan Provider (PPP).  </w:t>
      </w:r>
    </w:p>
    <w:p w14:paraId="5B3B2014" w14:textId="77777777" w:rsidR="00746084" w:rsidRDefault="00746084" w:rsidP="00026565">
      <w:pPr>
        <w:rPr>
          <w:bCs/>
          <w:szCs w:val="20"/>
        </w:rPr>
      </w:pPr>
    </w:p>
    <w:p w14:paraId="73EC3D45" w14:textId="7EC1E409" w:rsidR="00746084" w:rsidRPr="009412D1" w:rsidRDefault="00746084" w:rsidP="00026565">
      <w:pPr>
        <w:rPr>
          <w:b/>
          <w:szCs w:val="20"/>
        </w:rPr>
      </w:pPr>
      <w:r w:rsidRPr="009412D1">
        <w:rPr>
          <w:b/>
          <w:szCs w:val="20"/>
        </w:rPr>
        <w:t>What is the unified plan rule</w:t>
      </w:r>
      <w:r w:rsidR="009412D1" w:rsidRPr="009412D1">
        <w:rPr>
          <w:b/>
          <w:szCs w:val="20"/>
        </w:rPr>
        <w:t>?</w:t>
      </w:r>
    </w:p>
    <w:p w14:paraId="6925C0DE" w14:textId="77777777" w:rsidR="00026565" w:rsidRDefault="00026565" w:rsidP="00026565">
      <w:pPr>
        <w:rPr>
          <w:bCs/>
          <w:szCs w:val="20"/>
        </w:rPr>
      </w:pPr>
    </w:p>
    <w:p w14:paraId="55D986C6" w14:textId="562186BB" w:rsidR="009412D1" w:rsidRDefault="009412D1" w:rsidP="00026565">
      <w:pPr>
        <w:rPr>
          <w:bCs/>
          <w:szCs w:val="20"/>
        </w:rPr>
      </w:pPr>
      <w:r>
        <w:rPr>
          <w:bCs/>
          <w:szCs w:val="20"/>
        </w:rPr>
        <w:t>The unified plan rule states that a MEP is a single plan for qualification purposes</w:t>
      </w:r>
      <w:r w:rsidR="00706F32">
        <w:rPr>
          <w:bCs/>
          <w:szCs w:val="20"/>
        </w:rPr>
        <w:t>, and that if any portion of the plan fails to satisfy the qualification requirements, the entire plan is subject to disqualification or other IRS sanctions.</w:t>
      </w:r>
    </w:p>
    <w:p w14:paraId="66D8FA05" w14:textId="77777777" w:rsidR="00706F32" w:rsidRDefault="00706F32" w:rsidP="00026565">
      <w:pPr>
        <w:rPr>
          <w:bCs/>
          <w:szCs w:val="20"/>
        </w:rPr>
      </w:pPr>
    </w:p>
    <w:p w14:paraId="6C27ED47" w14:textId="12239069" w:rsidR="00706F32" w:rsidRPr="00F27EE8" w:rsidRDefault="00235077" w:rsidP="00026565">
      <w:pPr>
        <w:rPr>
          <w:b/>
          <w:szCs w:val="20"/>
        </w:rPr>
      </w:pPr>
      <w:r w:rsidRPr="00F27EE8">
        <w:rPr>
          <w:b/>
          <w:szCs w:val="20"/>
        </w:rPr>
        <w:t xml:space="preserve">What relief is available in the proposed </w:t>
      </w:r>
      <w:r w:rsidR="00685845">
        <w:rPr>
          <w:b/>
          <w:szCs w:val="20"/>
        </w:rPr>
        <w:t>§</w:t>
      </w:r>
      <w:r w:rsidRPr="00F27EE8">
        <w:rPr>
          <w:b/>
          <w:szCs w:val="20"/>
        </w:rPr>
        <w:t>413(e) regulations?</w:t>
      </w:r>
    </w:p>
    <w:p w14:paraId="31BF3C1C" w14:textId="77777777" w:rsidR="00235077" w:rsidRDefault="00235077" w:rsidP="00026565">
      <w:pPr>
        <w:rPr>
          <w:bCs/>
          <w:szCs w:val="20"/>
        </w:rPr>
      </w:pPr>
    </w:p>
    <w:p w14:paraId="78A9F194" w14:textId="6A57FA63" w:rsidR="00235077" w:rsidRDefault="00235077" w:rsidP="00026565">
      <w:pPr>
        <w:rPr>
          <w:bCs/>
          <w:szCs w:val="20"/>
        </w:rPr>
      </w:pPr>
      <w:r>
        <w:rPr>
          <w:bCs/>
          <w:szCs w:val="20"/>
        </w:rPr>
        <w:t xml:space="preserve">The proposed regulations </w:t>
      </w:r>
      <w:r w:rsidR="004722F1">
        <w:rPr>
          <w:bCs/>
          <w:szCs w:val="20"/>
        </w:rPr>
        <w:t xml:space="preserve">allow a plan to avoid the </w:t>
      </w:r>
      <w:r w:rsidR="00EA737C">
        <w:rPr>
          <w:bCs/>
          <w:szCs w:val="20"/>
        </w:rPr>
        <w:t xml:space="preserve">disqualification resulting from </w:t>
      </w:r>
      <w:r w:rsidR="004722F1">
        <w:rPr>
          <w:bCs/>
          <w:szCs w:val="20"/>
        </w:rPr>
        <w:t xml:space="preserve">a participating employer </w:t>
      </w:r>
      <w:r w:rsidR="0087660F">
        <w:rPr>
          <w:bCs/>
          <w:szCs w:val="20"/>
        </w:rPr>
        <w:t xml:space="preserve">that </w:t>
      </w:r>
      <w:r w:rsidR="007712E5">
        <w:rPr>
          <w:bCs/>
          <w:szCs w:val="20"/>
        </w:rPr>
        <w:t xml:space="preserve">fails to provide information or take needed action to maintain the qualified status of a plan.  The MEP Administrator, after providing notices to the “unresponsive participating employer,” then has the ability to </w:t>
      </w:r>
      <w:r w:rsidR="00F27EE8">
        <w:rPr>
          <w:bCs/>
          <w:szCs w:val="20"/>
        </w:rPr>
        <w:t>remove that employer from the plan, and thereby preserve the qualified status of the plan as a whole.  However, to do so, the MEP Administrator must go through a detailed series of steps outlined in Article 3 of the Amendment</w:t>
      </w:r>
      <w:r w:rsidR="0087660F">
        <w:rPr>
          <w:bCs/>
          <w:szCs w:val="20"/>
        </w:rPr>
        <w:t>, and the written plan document must provide for those steps.</w:t>
      </w:r>
    </w:p>
    <w:p w14:paraId="4EB50AC2" w14:textId="77777777" w:rsidR="00685845" w:rsidRPr="003069D3" w:rsidRDefault="00685845" w:rsidP="00026565">
      <w:pPr>
        <w:rPr>
          <w:b/>
          <w:szCs w:val="20"/>
        </w:rPr>
      </w:pPr>
    </w:p>
    <w:p w14:paraId="1E01FE2B" w14:textId="3A0E3D6D" w:rsidR="00685845" w:rsidRPr="003069D3" w:rsidRDefault="00685845" w:rsidP="00026565">
      <w:pPr>
        <w:rPr>
          <w:b/>
          <w:szCs w:val="20"/>
        </w:rPr>
      </w:pPr>
      <w:r w:rsidRPr="003069D3">
        <w:rPr>
          <w:b/>
          <w:szCs w:val="20"/>
        </w:rPr>
        <w:t>What plans can use the §413(e) relief?</w:t>
      </w:r>
    </w:p>
    <w:p w14:paraId="61EED4A1" w14:textId="77777777" w:rsidR="00685845" w:rsidRDefault="00685845" w:rsidP="00026565">
      <w:pPr>
        <w:rPr>
          <w:bCs/>
          <w:szCs w:val="20"/>
        </w:rPr>
      </w:pPr>
    </w:p>
    <w:p w14:paraId="5A4A700E" w14:textId="04EF65DF" w:rsidR="00685845" w:rsidRDefault="00685845" w:rsidP="00026565">
      <w:pPr>
        <w:rPr>
          <w:bCs/>
          <w:szCs w:val="20"/>
        </w:rPr>
      </w:pPr>
      <w:r>
        <w:rPr>
          <w:bCs/>
          <w:szCs w:val="20"/>
        </w:rPr>
        <w:t>The §413(e) relief in the proposed regulations is available to three types of plans:</w:t>
      </w:r>
      <w:r w:rsidR="00CA0C4A">
        <w:rPr>
          <w:bCs/>
          <w:szCs w:val="20"/>
        </w:rPr>
        <w:t xml:space="preserve">  (1) PEPs, (2) Other MEPs which have a PPP, and (3)</w:t>
      </w:r>
      <w:r w:rsidR="00567BCF">
        <w:rPr>
          <w:bCs/>
          <w:szCs w:val="20"/>
        </w:rPr>
        <w:t xml:space="preserve"> Other </w:t>
      </w:r>
      <w:r w:rsidR="00567BCF" w:rsidRPr="00567BCF">
        <w:rPr>
          <w:bCs/>
          <w:szCs w:val="20"/>
        </w:rPr>
        <w:t xml:space="preserve"> MEP</w:t>
      </w:r>
      <w:r w:rsidR="00567BCF">
        <w:rPr>
          <w:bCs/>
          <w:szCs w:val="20"/>
        </w:rPr>
        <w:t xml:space="preserve">s </w:t>
      </w:r>
      <w:r w:rsidR="00567BCF" w:rsidRPr="00567BCF">
        <w:rPr>
          <w:bCs/>
          <w:szCs w:val="20"/>
        </w:rPr>
        <w:t xml:space="preserve">maintained by employers that all have a common interest other than having adopted the Plan.  </w:t>
      </w:r>
      <w:r w:rsidR="001118C7">
        <w:rPr>
          <w:bCs/>
          <w:szCs w:val="20"/>
        </w:rPr>
        <w:t>This amendment is designed to be used by all three types of plans.  Section 2.1 allows the plan to specify which type of plan it is, and therefore which set of provisions will apply.</w:t>
      </w:r>
    </w:p>
    <w:p w14:paraId="52314D9C" w14:textId="77777777" w:rsidR="00F27EE8" w:rsidRDefault="00F27EE8" w:rsidP="00026565">
      <w:pPr>
        <w:rPr>
          <w:bCs/>
          <w:szCs w:val="20"/>
        </w:rPr>
      </w:pPr>
    </w:p>
    <w:p w14:paraId="32324146" w14:textId="708728CF" w:rsidR="00026565" w:rsidRPr="00026565" w:rsidRDefault="001814AD" w:rsidP="00B11604">
      <w:pPr>
        <w:keepNext/>
        <w:keepLines/>
        <w:rPr>
          <w:b/>
          <w:szCs w:val="20"/>
        </w:rPr>
      </w:pPr>
      <w:r>
        <w:rPr>
          <w:b/>
          <w:szCs w:val="20"/>
        </w:rPr>
        <w:t>How does this amendment relate to the plan document for a PEP</w:t>
      </w:r>
      <w:r w:rsidR="00026565" w:rsidRPr="00026565">
        <w:rPr>
          <w:b/>
          <w:szCs w:val="20"/>
        </w:rPr>
        <w:t>?</w:t>
      </w:r>
      <w:r w:rsidR="007623B4">
        <w:rPr>
          <w:b/>
          <w:szCs w:val="20"/>
        </w:rPr>
        <w:t xml:space="preserve"> How is it adopted?</w:t>
      </w:r>
    </w:p>
    <w:p w14:paraId="4CFEE55C" w14:textId="77777777" w:rsidR="00026565" w:rsidRPr="00026565" w:rsidRDefault="00026565" w:rsidP="00B11604">
      <w:pPr>
        <w:keepNext/>
        <w:keepLines/>
        <w:rPr>
          <w:bCs/>
          <w:szCs w:val="20"/>
        </w:rPr>
      </w:pPr>
    </w:p>
    <w:p w14:paraId="69B1C679" w14:textId="6C7EE48A" w:rsidR="00026565" w:rsidRDefault="00FE5842" w:rsidP="00B11604">
      <w:pPr>
        <w:keepNext/>
        <w:keepLines/>
        <w:rPr>
          <w:bCs/>
          <w:szCs w:val="20"/>
        </w:rPr>
      </w:pPr>
      <w:r>
        <w:rPr>
          <w:bCs/>
          <w:szCs w:val="20"/>
        </w:rPr>
        <w:t>This amendment is designed to modify a MEP to make it a PEP.  It contains the provisions the law requires for a PEP.</w:t>
      </w:r>
      <w:r w:rsidR="00026565" w:rsidRPr="00026565">
        <w:rPr>
          <w:bCs/>
          <w:szCs w:val="20"/>
        </w:rPr>
        <w:t xml:space="preserve"> </w:t>
      </w:r>
      <w:r w:rsidR="009B5FA6">
        <w:rPr>
          <w:bCs/>
          <w:szCs w:val="20"/>
        </w:rPr>
        <w:t>It can be used with the “Corbel</w:t>
      </w:r>
      <w:r w:rsidR="008E6CC6">
        <w:rPr>
          <w:bCs/>
          <w:szCs w:val="20"/>
        </w:rPr>
        <w:t>,</w:t>
      </w:r>
      <w:r w:rsidR="009B5FA6">
        <w:rPr>
          <w:bCs/>
          <w:szCs w:val="20"/>
        </w:rPr>
        <w:t>” “PPD</w:t>
      </w:r>
      <w:r w:rsidR="008E6CC6">
        <w:rPr>
          <w:bCs/>
          <w:szCs w:val="20"/>
        </w:rPr>
        <w:t>,</w:t>
      </w:r>
      <w:r w:rsidR="009B5FA6">
        <w:rPr>
          <w:bCs/>
          <w:szCs w:val="20"/>
        </w:rPr>
        <w:t xml:space="preserve">” </w:t>
      </w:r>
      <w:r w:rsidR="008E6CC6">
        <w:rPr>
          <w:bCs/>
          <w:szCs w:val="20"/>
        </w:rPr>
        <w:t xml:space="preserve">or “Governmental” </w:t>
      </w:r>
      <w:r w:rsidR="009B5FA6">
        <w:rPr>
          <w:bCs/>
          <w:szCs w:val="20"/>
        </w:rPr>
        <w:t xml:space="preserve">PPA or Cycle 3 </w:t>
      </w:r>
      <w:r w:rsidR="008E6CC6">
        <w:rPr>
          <w:bCs/>
          <w:szCs w:val="20"/>
        </w:rPr>
        <w:t xml:space="preserve">preapproved </w:t>
      </w:r>
      <w:r w:rsidR="009B5FA6">
        <w:rPr>
          <w:bCs/>
          <w:szCs w:val="20"/>
        </w:rPr>
        <w:t>plan documents</w:t>
      </w:r>
      <w:r w:rsidR="006A16A8">
        <w:rPr>
          <w:bCs/>
          <w:szCs w:val="20"/>
        </w:rPr>
        <w:t xml:space="preserve"> </w:t>
      </w:r>
      <w:r w:rsidR="0077315C">
        <w:rPr>
          <w:bCs/>
          <w:szCs w:val="20"/>
        </w:rPr>
        <w:t>created using the Relius Document software</w:t>
      </w:r>
      <w:r w:rsidR="006A16A8">
        <w:rPr>
          <w:bCs/>
          <w:szCs w:val="20"/>
        </w:rPr>
        <w:t>.</w:t>
      </w:r>
      <w:r w:rsidR="00DD697F">
        <w:rPr>
          <w:bCs/>
          <w:szCs w:val="20"/>
        </w:rPr>
        <w:t xml:space="preserve">  </w:t>
      </w:r>
      <w:r w:rsidR="00BC38C6">
        <w:rPr>
          <w:bCs/>
          <w:szCs w:val="20"/>
        </w:rPr>
        <w:t xml:space="preserve">(The amendment is not designed for use with the </w:t>
      </w:r>
      <w:r w:rsidR="00424C42">
        <w:rPr>
          <w:bCs/>
          <w:szCs w:val="20"/>
        </w:rPr>
        <w:t xml:space="preserve">ESOP, Solo(k), or IDP-formatted documents.) </w:t>
      </w:r>
      <w:r w:rsidR="00DD697F">
        <w:rPr>
          <w:bCs/>
          <w:szCs w:val="20"/>
        </w:rPr>
        <w:t>It is anticipated that the plan document will reflect that the plan is a MEP, and that adopting employers will sign participation agreements.</w:t>
      </w:r>
      <w:r w:rsidR="008D0098">
        <w:rPr>
          <w:bCs/>
          <w:szCs w:val="20"/>
        </w:rPr>
        <w:t xml:space="preserve">  It is not designed to be used for IRA arrangements.</w:t>
      </w:r>
      <w:r w:rsidR="007623B4">
        <w:rPr>
          <w:bCs/>
          <w:szCs w:val="20"/>
        </w:rPr>
        <w:t xml:space="preserve"> </w:t>
      </w:r>
    </w:p>
    <w:p w14:paraId="35D4F902" w14:textId="77777777" w:rsidR="007623B4" w:rsidRDefault="007623B4" w:rsidP="00B11604">
      <w:pPr>
        <w:keepNext/>
        <w:keepLines/>
        <w:rPr>
          <w:bCs/>
          <w:szCs w:val="20"/>
        </w:rPr>
      </w:pPr>
    </w:p>
    <w:p w14:paraId="29D078E4" w14:textId="5629847C" w:rsidR="007623B4" w:rsidRDefault="007623B4" w:rsidP="00B11604">
      <w:pPr>
        <w:keepNext/>
        <w:keepLines/>
        <w:rPr>
          <w:bCs/>
          <w:szCs w:val="20"/>
        </w:rPr>
      </w:pPr>
      <w:r>
        <w:rPr>
          <w:bCs/>
          <w:szCs w:val="20"/>
        </w:rPr>
        <w:t>To adopt this amendment</w:t>
      </w:r>
      <w:r w:rsidR="00DB0BE2">
        <w:rPr>
          <w:bCs/>
          <w:szCs w:val="20"/>
        </w:rPr>
        <w:t xml:space="preserve">, complete the information in Article 2.  It should be signed by the </w:t>
      </w:r>
      <w:r w:rsidR="00464D64">
        <w:rPr>
          <w:bCs/>
          <w:szCs w:val="20"/>
        </w:rPr>
        <w:t>employer adopting the plan, the PPP, and the trustee</w:t>
      </w:r>
      <w:r w:rsidR="00B32E28">
        <w:rPr>
          <w:bCs/>
          <w:szCs w:val="20"/>
        </w:rPr>
        <w:t>, if any,</w:t>
      </w:r>
      <w:r w:rsidR="00464D64">
        <w:rPr>
          <w:bCs/>
          <w:szCs w:val="20"/>
        </w:rPr>
        <w:t xml:space="preserve"> named in </w:t>
      </w:r>
      <w:r w:rsidR="00D840CF">
        <w:rPr>
          <w:bCs/>
          <w:szCs w:val="20"/>
        </w:rPr>
        <w:t>Section 2.1(</w:t>
      </w:r>
      <w:r w:rsidR="002F5383">
        <w:rPr>
          <w:bCs/>
          <w:szCs w:val="20"/>
        </w:rPr>
        <w:t>D</w:t>
      </w:r>
      <w:r w:rsidR="00D840CF">
        <w:rPr>
          <w:bCs/>
          <w:szCs w:val="20"/>
        </w:rPr>
        <w:t>).</w:t>
      </w:r>
    </w:p>
    <w:p w14:paraId="10F6F751" w14:textId="6D7AAAB3" w:rsidR="003C59C1" w:rsidRDefault="003C59C1" w:rsidP="00B11604">
      <w:pPr>
        <w:keepNext/>
        <w:keepLines/>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252EC281" w14:textId="1D3685D8" w:rsidR="00026565" w:rsidRPr="00026565" w:rsidRDefault="006A4C00" w:rsidP="00026565">
      <w:pPr>
        <w:rPr>
          <w:bCs/>
          <w:szCs w:val="20"/>
        </w:rPr>
      </w:pPr>
      <w:r>
        <w:rPr>
          <w:bCs/>
          <w:szCs w:val="20"/>
        </w:rPr>
        <w:t>Because this is a SECURE Act amendment, it can be adopted as late as the last day of the 2022 plan year</w:t>
      </w:r>
      <w:r w:rsidR="00806A6D">
        <w:rPr>
          <w:bCs/>
          <w:szCs w:val="20"/>
        </w:rPr>
        <w:t xml:space="preserve"> (or 2024 for a governmental plan).  However, because of the importance of the provisions and the central role the PPP pla</w:t>
      </w:r>
      <w:r w:rsidR="00EE397D">
        <w:rPr>
          <w:bCs/>
          <w:szCs w:val="20"/>
        </w:rPr>
        <w:t>y</w:t>
      </w:r>
      <w:r w:rsidR="00806A6D">
        <w:rPr>
          <w:bCs/>
          <w:szCs w:val="20"/>
        </w:rPr>
        <w:t>s in the PEP, we are providing this amendment now.</w:t>
      </w:r>
    </w:p>
    <w:p w14:paraId="0DE89440" w14:textId="77777777" w:rsidR="00026565" w:rsidRPr="00026565" w:rsidRDefault="00026565"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0FF06505" w14:textId="53184E9A" w:rsidR="00035519" w:rsidRPr="00035519" w:rsidRDefault="00026565" w:rsidP="00B44775">
      <w:pPr>
        <w:rPr>
          <w:rFonts w:ascii="Times" w:hAnsi="Times"/>
          <w:szCs w:val="20"/>
        </w:rPr>
      </w:pPr>
      <w:r w:rsidRPr="00026565">
        <w:rPr>
          <w:bCs/>
          <w:szCs w:val="20"/>
        </w:rPr>
        <w:t xml:space="preserve">Yes. This is a good faith amendment, and the IRS has not reviewed or approved it. </w:t>
      </w:r>
    </w:p>
    <w:p w14:paraId="14601E4D" w14:textId="6FDF9425" w:rsidR="00900A95" w:rsidRDefault="00900A95" w:rsidP="00A36C7A">
      <w:pPr>
        <w:rPr>
          <w:bCs/>
          <w:iCs/>
          <w:szCs w:val="20"/>
        </w:rPr>
      </w:pPr>
    </w:p>
    <w:p w14:paraId="7A1C37E4" w14:textId="77777777" w:rsidR="000D5688" w:rsidRDefault="000D5688" w:rsidP="00A36C7A">
      <w:pPr>
        <w:rPr>
          <w:bCs/>
          <w:iCs/>
          <w:szCs w:val="20"/>
        </w:rPr>
      </w:pPr>
    </w:p>
    <w:p w14:paraId="3A8B44B0" w14:textId="77777777" w:rsidR="000D5688" w:rsidRDefault="000D5688" w:rsidP="00A36C7A">
      <w:pPr>
        <w:rPr>
          <w:bCs/>
          <w:iCs/>
          <w:szCs w:val="20"/>
        </w:rPr>
      </w:pPr>
    </w:p>
    <w:p w14:paraId="4CF1798C" w14:textId="77777777" w:rsidR="000D5688" w:rsidRDefault="000D5688" w:rsidP="00A36C7A">
      <w:pPr>
        <w:rPr>
          <w:bCs/>
          <w:iCs/>
          <w:szCs w:val="20"/>
        </w:rPr>
      </w:pPr>
    </w:p>
    <w:p w14:paraId="6C012BC7" w14:textId="6C9DCB50" w:rsidR="009502D1" w:rsidRDefault="009502D1" w:rsidP="00A36C7A">
      <w:pPr>
        <w:rPr>
          <w:b/>
          <w:iCs/>
          <w:szCs w:val="20"/>
        </w:rPr>
      </w:pPr>
      <w:r>
        <w:rPr>
          <w:b/>
          <w:iCs/>
          <w:szCs w:val="20"/>
        </w:rPr>
        <w:lastRenderedPageBreak/>
        <w:t>What is Section 2.4 of the amendment?  Should I select it?</w:t>
      </w:r>
    </w:p>
    <w:p w14:paraId="62152A20" w14:textId="77777777" w:rsidR="009502D1" w:rsidRDefault="009502D1" w:rsidP="00A36C7A">
      <w:pPr>
        <w:rPr>
          <w:b/>
          <w:iCs/>
          <w:szCs w:val="20"/>
        </w:rPr>
      </w:pPr>
    </w:p>
    <w:p w14:paraId="0891474D" w14:textId="3B545DF6" w:rsidR="009502D1" w:rsidRDefault="009502D1" w:rsidP="00A36C7A">
      <w:pPr>
        <w:rPr>
          <w:bCs/>
          <w:iCs/>
          <w:szCs w:val="20"/>
        </w:rPr>
      </w:pPr>
      <w:r>
        <w:rPr>
          <w:bCs/>
          <w:iCs/>
          <w:szCs w:val="20"/>
        </w:rPr>
        <w:t xml:space="preserve">Section 2.4 </w:t>
      </w:r>
      <w:r w:rsidR="00636CD8">
        <w:rPr>
          <w:bCs/>
          <w:iCs/>
          <w:szCs w:val="20"/>
        </w:rPr>
        <w:t xml:space="preserve">addresses a situation in which the PPP or other MEP Administrator is the “lead employer” sponsoring the plan but is not using the plan for its own employees.  </w:t>
      </w:r>
      <w:r w:rsidR="00312D6F">
        <w:rPr>
          <w:bCs/>
          <w:iCs/>
          <w:szCs w:val="20"/>
        </w:rPr>
        <w:t>Checking box 2.4(a) says that the employees of the MEP Administrator will not participate in the plan.  This functionality already exists in the Cycle 3 PPD document (see election 51(b)(2))</w:t>
      </w:r>
      <w:r w:rsidR="00DE58E1">
        <w:rPr>
          <w:bCs/>
          <w:iCs/>
          <w:szCs w:val="20"/>
        </w:rPr>
        <w:t xml:space="preserve"> but is provided here for other documents.  </w:t>
      </w:r>
      <w:r w:rsidR="005262EE">
        <w:rPr>
          <w:bCs/>
          <w:iCs/>
          <w:szCs w:val="20"/>
        </w:rPr>
        <w:t xml:space="preserve">(PPD document users can </w:t>
      </w:r>
      <w:r w:rsidR="00867102">
        <w:rPr>
          <w:bCs/>
          <w:iCs/>
          <w:szCs w:val="20"/>
        </w:rPr>
        <w:t>use 2.4(a) of the amendment and/or election 51(b)(2) of the adoption agreement to accomplish the same thing</w:t>
      </w:r>
      <w:r w:rsidR="003069D3">
        <w:rPr>
          <w:bCs/>
          <w:iCs/>
          <w:szCs w:val="20"/>
        </w:rPr>
        <w:t xml:space="preserve">.) </w:t>
      </w:r>
      <w:r w:rsidR="00DE58E1">
        <w:rPr>
          <w:bCs/>
          <w:iCs/>
          <w:szCs w:val="20"/>
        </w:rPr>
        <w:t xml:space="preserve">If the employees of the MEP Administrator will participate, the </w:t>
      </w:r>
      <w:r w:rsidR="007975ED">
        <w:rPr>
          <w:bCs/>
          <w:iCs/>
          <w:szCs w:val="20"/>
        </w:rPr>
        <w:t>Administrator can complete a Participating Agreement to specify the plan options that will apply to those employees.</w:t>
      </w:r>
    </w:p>
    <w:p w14:paraId="36935C47" w14:textId="77777777" w:rsidR="007975ED" w:rsidRPr="009502D1" w:rsidRDefault="007975ED" w:rsidP="00A36C7A">
      <w:pPr>
        <w:rPr>
          <w:bCs/>
          <w:iCs/>
          <w:szCs w:val="20"/>
        </w:rPr>
      </w:pPr>
    </w:p>
    <w:p w14:paraId="6F434DD8" w14:textId="2D49319D" w:rsidR="00947EB3" w:rsidRPr="00947EB3" w:rsidRDefault="00947EB3" w:rsidP="00A36C7A">
      <w:pPr>
        <w:rPr>
          <w:b/>
          <w:iCs/>
          <w:szCs w:val="20"/>
        </w:rPr>
      </w:pPr>
      <w:r w:rsidRPr="00947EB3">
        <w:rPr>
          <w:b/>
          <w:iCs/>
          <w:szCs w:val="20"/>
        </w:rPr>
        <w:t>Will FIS update this amendment?</w:t>
      </w:r>
    </w:p>
    <w:p w14:paraId="3889AAF0" w14:textId="146F91FB" w:rsidR="00947EB3" w:rsidRDefault="00947EB3" w:rsidP="00A36C7A">
      <w:pPr>
        <w:rPr>
          <w:bCs/>
          <w:iCs/>
          <w:szCs w:val="20"/>
        </w:rPr>
      </w:pPr>
    </w:p>
    <w:p w14:paraId="17400707" w14:textId="2D145668" w:rsidR="00947EB3" w:rsidRDefault="00947EB3" w:rsidP="00B8208D">
      <w:pPr>
        <w:rPr>
          <w:bCs/>
          <w:iCs/>
          <w:szCs w:val="20"/>
        </w:rPr>
      </w:pPr>
      <w:r>
        <w:rPr>
          <w:bCs/>
          <w:iCs/>
          <w:szCs w:val="20"/>
        </w:rPr>
        <w:t xml:space="preserve">We anticipate updating the amendment based on IRS </w:t>
      </w:r>
      <w:r w:rsidR="003A75A7">
        <w:rPr>
          <w:bCs/>
          <w:iCs/>
          <w:szCs w:val="20"/>
        </w:rPr>
        <w:t xml:space="preserve">and DOL </w:t>
      </w:r>
      <w:r>
        <w:rPr>
          <w:bCs/>
          <w:iCs/>
          <w:szCs w:val="20"/>
        </w:rPr>
        <w:t>guidance</w:t>
      </w:r>
      <w:r w:rsidR="00F54131">
        <w:rPr>
          <w:bCs/>
          <w:iCs/>
          <w:szCs w:val="20"/>
        </w:rPr>
        <w:t xml:space="preserve"> when it is issued</w:t>
      </w:r>
      <w:r>
        <w:rPr>
          <w:bCs/>
          <w:iCs/>
          <w:szCs w:val="20"/>
        </w:rPr>
        <w:t xml:space="preserve">.  </w:t>
      </w:r>
      <w:r w:rsidR="003A75A7">
        <w:rPr>
          <w:bCs/>
          <w:iCs/>
          <w:szCs w:val="20"/>
        </w:rPr>
        <w:t>SECURE requires the IRS to provide a model PEP amendment</w:t>
      </w:r>
      <w:r w:rsidR="003678AE">
        <w:rPr>
          <w:bCs/>
          <w:iCs/>
          <w:szCs w:val="20"/>
        </w:rPr>
        <w:t>, but</w:t>
      </w:r>
      <w:r w:rsidR="003A75A7">
        <w:rPr>
          <w:bCs/>
          <w:iCs/>
          <w:szCs w:val="20"/>
        </w:rPr>
        <w:t xml:space="preserve"> we do not anticipate that they will do so until </w:t>
      </w:r>
      <w:r w:rsidR="00735C0D">
        <w:rPr>
          <w:bCs/>
          <w:iCs/>
          <w:szCs w:val="20"/>
        </w:rPr>
        <w:t xml:space="preserve">both </w:t>
      </w:r>
      <w:r w:rsidR="00196165">
        <w:rPr>
          <w:bCs/>
          <w:iCs/>
          <w:szCs w:val="20"/>
        </w:rPr>
        <w:t>agencies have issued guidance relating to the application of the new law.</w:t>
      </w:r>
      <w:r w:rsidR="00781214">
        <w:rPr>
          <w:bCs/>
          <w:iCs/>
          <w:szCs w:val="20"/>
        </w:rPr>
        <w:t xml:space="preserve">  </w:t>
      </w:r>
      <w:r w:rsidR="00781214" w:rsidRPr="00FB4C6B">
        <w:rPr>
          <w:b/>
          <w:iCs/>
          <w:szCs w:val="20"/>
        </w:rPr>
        <w:t>Almost surely that guidance will require modification of this amendment.</w:t>
      </w:r>
      <w:r w:rsidR="00781214">
        <w:rPr>
          <w:bCs/>
          <w:iCs/>
          <w:szCs w:val="20"/>
        </w:rPr>
        <w:t xml:space="preserve">  </w:t>
      </w:r>
      <w:r w:rsidR="003A785C">
        <w:rPr>
          <w:bCs/>
          <w:iCs/>
          <w:szCs w:val="20"/>
        </w:rPr>
        <w:t xml:space="preserve">Note that Code §413(e) and ERISA §3(44) </w:t>
      </w:r>
      <w:r w:rsidR="00CA5DE2">
        <w:rPr>
          <w:bCs/>
          <w:iCs/>
          <w:szCs w:val="20"/>
        </w:rPr>
        <w:t xml:space="preserve">state that an employer or PPP </w:t>
      </w:r>
      <w:r w:rsidR="004D53F9">
        <w:rPr>
          <w:bCs/>
          <w:iCs/>
          <w:szCs w:val="20"/>
        </w:rPr>
        <w:t xml:space="preserve">“shall not be treated as failing </w:t>
      </w:r>
      <w:r w:rsidR="004A3760">
        <w:rPr>
          <w:bCs/>
          <w:iCs/>
          <w:szCs w:val="20"/>
        </w:rPr>
        <w:t xml:space="preserve">to meet a requirement” of ultimately issued IRS and DOL guidance </w:t>
      </w:r>
      <w:r w:rsidR="00B8208D">
        <w:rPr>
          <w:bCs/>
          <w:iCs/>
          <w:szCs w:val="20"/>
        </w:rPr>
        <w:t>if “</w:t>
      </w:r>
      <w:r w:rsidR="00B8208D" w:rsidRPr="00B8208D">
        <w:rPr>
          <w:bCs/>
          <w:iCs/>
          <w:szCs w:val="20"/>
        </w:rPr>
        <w:t>before the issuance of such guidance, the employer or pooled plan provider complies in good faith with a reasonable interpretation of the</w:t>
      </w:r>
      <w:r w:rsidR="00B8208D">
        <w:rPr>
          <w:bCs/>
          <w:iCs/>
          <w:szCs w:val="20"/>
        </w:rPr>
        <w:t>” law.</w:t>
      </w:r>
      <w:r w:rsidR="00EF2584">
        <w:rPr>
          <w:bCs/>
          <w:iCs/>
          <w:szCs w:val="20"/>
        </w:rPr>
        <w:t xml:space="preserve"> We believe this amendment to represent such a reasonable, good faith interpretation</w:t>
      </w:r>
      <w:r w:rsidR="00F54131">
        <w:rPr>
          <w:bCs/>
          <w:iCs/>
          <w:szCs w:val="20"/>
        </w:rPr>
        <w:t xml:space="preserve"> until the agencies provide guidance.</w:t>
      </w:r>
      <w:r w:rsidR="00CB07CF">
        <w:rPr>
          <w:bCs/>
          <w:iCs/>
          <w:szCs w:val="20"/>
        </w:rPr>
        <w:t xml:space="preserve"> The IRS has said that compliance with the proposed §413(e) regulations constitutes such reasonable, good faith compliance.  </w:t>
      </w:r>
      <w:r w:rsidR="009D146B">
        <w:rPr>
          <w:bCs/>
          <w:iCs/>
          <w:szCs w:val="20"/>
        </w:rPr>
        <w:t xml:space="preserve">While we have </w:t>
      </w:r>
      <w:proofErr w:type="gramStart"/>
      <w:r w:rsidR="009D146B">
        <w:rPr>
          <w:bCs/>
          <w:iCs/>
          <w:szCs w:val="20"/>
        </w:rPr>
        <w:t>no</w:t>
      </w:r>
      <w:proofErr w:type="gramEnd"/>
      <w:r w:rsidR="009D146B">
        <w:rPr>
          <w:bCs/>
          <w:iCs/>
          <w:szCs w:val="20"/>
        </w:rPr>
        <w:t xml:space="preserve"> submitted this amendment to the IRS for review, we believe in complies with the proposed regulations.</w:t>
      </w:r>
    </w:p>
    <w:p w14:paraId="410B9816" w14:textId="77777777" w:rsidR="00947EB3" w:rsidRDefault="00947EB3" w:rsidP="00A36C7A">
      <w:pPr>
        <w:rPr>
          <w:bCs/>
          <w:iCs/>
          <w:szCs w:val="20"/>
        </w:rPr>
      </w:pPr>
    </w:p>
    <w:p w14:paraId="4AB8F9CD" w14:textId="6F3FA40A" w:rsidR="00FC08B7" w:rsidRDefault="00AF1E32" w:rsidP="00A36C7A">
      <w:pPr>
        <w:rPr>
          <w:bCs/>
          <w:iCs/>
          <w:szCs w:val="20"/>
        </w:rPr>
      </w:pPr>
      <w:r>
        <w:rPr>
          <w:bCs/>
          <w:iCs/>
          <w:szCs w:val="20"/>
        </w:rPr>
        <w:t xml:space="preserve">The most current version of this amendment will be posted at </w:t>
      </w:r>
      <w:hyperlink r:id="rId10" w:history="1">
        <w:r w:rsidR="00E72D49" w:rsidRPr="002A609D">
          <w:rPr>
            <w:rStyle w:val="Hyperlink"/>
            <w:bCs/>
            <w:iCs/>
            <w:szCs w:val="20"/>
          </w:rPr>
          <w:t>https://www.relius.net/News/OtherResources.aspx?T=P</w:t>
        </w:r>
      </w:hyperlink>
      <w:r w:rsidR="00E72D49">
        <w:rPr>
          <w:bCs/>
          <w:iCs/>
          <w:szCs w:val="20"/>
        </w:rPr>
        <w:t>.</w:t>
      </w:r>
    </w:p>
    <w:p w14:paraId="21B97E32" w14:textId="77777777" w:rsidR="00E72D49" w:rsidRDefault="00E72D49" w:rsidP="00A36C7A">
      <w:pPr>
        <w:rPr>
          <w:bCs/>
          <w:iCs/>
          <w:szCs w:val="20"/>
        </w:rPr>
      </w:pPr>
    </w:p>
    <w:p w14:paraId="71471BAC" w14:textId="1F2E685F" w:rsidR="000D5688" w:rsidRDefault="000D5688" w:rsidP="00A36C7A">
      <w:pPr>
        <w:rPr>
          <w:b/>
          <w:iCs/>
          <w:szCs w:val="20"/>
        </w:rPr>
      </w:pPr>
      <w:r>
        <w:rPr>
          <w:b/>
          <w:iCs/>
          <w:szCs w:val="20"/>
        </w:rPr>
        <w:t>Our plan adopted the PEP amendment FIS issued in October 202</w:t>
      </w:r>
      <w:r w:rsidR="00894E8A">
        <w:rPr>
          <w:b/>
          <w:iCs/>
          <w:szCs w:val="20"/>
        </w:rPr>
        <w:t>0.  Should I update it to the May 2022 release?</w:t>
      </w:r>
    </w:p>
    <w:p w14:paraId="4B3CC49B" w14:textId="77777777" w:rsidR="00894E8A" w:rsidRDefault="00894E8A" w:rsidP="00A36C7A">
      <w:pPr>
        <w:rPr>
          <w:b/>
          <w:iCs/>
          <w:szCs w:val="20"/>
        </w:rPr>
      </w:pPr>
    </w:p>
    <w:p w14:paraId="7DE307B9" w14:textId="621A4FD5" w:rsidR="00894E8A" w:rsidRPr="00894E8A" w:rsidRDefault="00894E8A" w:rsidP="00A36C7A">
      <w:pPr>
        <w:rPr>
          <w:bCs/>
          <w:iCs/>
          <w:szCs w:val="20"/>
        </w:rPr>
      </w:pPr>
      <w:r>
        <w:rPr>
          <w:bCs/>
          <w:iCs/>
          <w:szCs w:val="20"/>
        </w:rPr>
        <w:t xml:space="preserve">Yes. </w:t>
      </w:r>
      <w:r w:rsidR="00950AAA">
        <w:rPr>
          <w:bCs/>
          <w:iCs/>
          <w:szCs w:val="20"/>
        </w:rPr>
        <w:t xml:space="preserve">The original PEP amendment was issued </w:t>
      </w:r>
      <w:r w:rsidR="009E2598">
        <w:rPr>
          <w:bCs/>
          <w:iCs/>
          <w:szCs w:val="20"/>
        </w:rPr>
        <w:t xml:space="preserve">over a year before the IRS issued the proposed §413(e) regulations, and does not comply with those regulations.  </w:t>
      </w:r>
      <w:r w:rsidR="00A95F3D">
        <w:rPr>
          <w:bCs/>
          <w:iCs/>
          <w:szCs w:val="20"/>
        </w:rPr>
        <w:t>Now that those regulations have been proposed, PEPs and other MEPs wishing to take advantage of relief from the unified plan rule should update their plans to conform to the current IRS interpretation.</w:t>
      </w:r>
    </w:p>
    <w:sectPr w:rsidR="00894E8A" w:rsidRPr="00894E8A" w:rsidSect="00DF5BD1">
      <w:headerReference w:type="default" r:id="rId11"/>
      <w:footerReference w:type="default" r:id="rId12"/>
      <w:pgSz w:w="12240" w:h="15840" w:code="1"/>
      <w:pgMar w:top="720" w:right="1080" w:bottom="432"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EA53F" w14:textId="77777777" w:rsidR="00B74D28" w:rsidRDefault="00B74D28">
      <w:r>
        <w:separator/>
      </w:r>
    </w:p>
  </w:endnote>
  <w:endnote w:type="continuationSeparator" w:id="0">
    <w:p w14:paraId="4975C719" w14:textId="77777777" w:rsidR="00B74D28" w:rsidRDefault="00B7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AA54" w14:textId="1CECCEFA" w:rsidR="00DF5BD1" w:rsidRDefault="001F43E3" w:rsidP="00DF5BD1">
    <w:pPr>
      <w:pStyle w:val="Footer"/>
      <w:jc w:val="center"/>
    </w:pPr>
    <w:r w:rsidRPr="00B44470">
      <w:rPr>
        <w:rFonts w:ascii="Times" w:hAnsi="Times" w:cs="Times"/>
        <w:szCs w:val="20"/>
      </w:rPr>
      <w:t>© 20</w:t>
    </w:r>
    <w:r>
      <w:rPr>
        <w:rFonts w:ascii="Times" w:hAnsi="Times" w:cs="Times"/>
        <w:szCs w:val="20"/>
      </w:rPr>
      <w:t>20 FIS Business Systems LLC or its suppliers</w:t>
    </w:r>
    <w:r>
      <w:ptab w:relativeTo="margin" w:alignment="center" w:leader="none"/>
    </w:r>
    <w:r w:rsidR="00FE4204">
      <w:fldChar w:fldCharType="begin"/>
    </w:r>
    <w:r w:rsidR="00FE4204">
      <w:instrText xml:space="preserve"> PAGE   \* MERGEFORMAT </w:instrText>
    </w:r>
    <w:r w:rsidR="00FE4204">
      <w:fldChar w:fldCharType="separate"/>
    </w:r>
    <w:r w:rsidR="00FE4204">
      <w:rPr>
        <w:noProof/>
      </w:rPr>
      <w:t>1</w:t>
    </w:r>
    <w:r w:rsidR="00FE4204">
      <w:rPr>
        <w:noProof/>
      </w:rPr>
      <w:fldChar w:fldCharType="end"/>
    </w:r>
    <w:r>
      <w:ptab w:relativeTo="margin" w:alignment="right" w:leader="none"/>
    </w:r>
    <w:r>
      <w:t xml:space="preserve">Rev. </w:t>
    </w:r>
    <w:r w:rsidR="00B32E28">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0962" w14:textId="77777777" w:rsidR="00B74D28" w:rsidRDefault="00B74D28">
      <w:r>
        <w:separator/>
      </w:r>
    </w:p>
  </w:footnote>
  <w:footnote w:type="continuationSeparator" w:id="0">
    <w:p w14:paraId="75938513" w14:textId="77777777" w:rsidR="00B74D28" w:rsidRDefault="00B74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6D47" w14:textId="730AD003" w:rsidR="00DF5BD1" w:rsidRDefault="00AE5F8A" w:rsidP="00DF5BD1">
    <w:pPr>
      <w:pStyle w:val="Header"/>
      <w:jc w:val="right"/>
      <w:rPr>
        <w:b/>
        <w:sz w:val="18"/>
        <w:szCs w:val="18"/>
      </w:rPr>
    </w:pPr>
    <w:r>
      <w:rPr>
        <w:b/>
        <w:sz w:val="18"/>
        <w:szCs w:val="18"/>
      </w:rPr>
      <w:t>Pooled Employer Plan Amendment</w:t>
    </w:r>
    <w:r w:rsidR="00026565">
      <w:rPr>
        <w:b/>
        <w:sz w:val="18"/>
        <w:szCs w:val="18"/>
      </w:rPr>
      <w:t xml:space="preserve"> Instructions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0"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4"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6143700">
    <w:abstractNumId w:val="34"/>
  </w:num>
  <w:num w:numId="2" w16cid:durableId="1702516545">
    <w:abstractNumId w:val="1"/>
  </w:num>
  <w:num w:numId="3" w16cid:durableId="186062190">
    <w:abstractNumId w:val="31"/>
  </w:num>
  <w:num w:numId="4" w16cid:durableId="958341875">
    <w:abstractNumId w:val="8"/>
  </w:num>
  <w:num w:numId="5" w16cid:durableId="1609586758">
    <w:abstractNumId w:val="4"/>
  </w:num>
  <w:num w:numId="6" w16cid:durableId="548880004">
    <w:abstractNumId w:val="10"/>
  </w:num>
  <w:num w:numId="7" w16cid:durableId="1131703259">
    <w:abstractNumId w:val="14"/>
  </w:num>
  <w:num w:numId="8" w16cid:durableId="2107580226">
    <w:abstractNumId w:val="16"/>
  </w:num>
  <w:num w:numId="9" w16cid:durableId="182599222">
    <w:abstractNumId w:val="26"/>
  </w:num>
  <w:num w:numId="10" w16cid:durableId="253056639">
    <w:abstractNumId w:val="21"/>
  </w:num>
  <w:num w:numId="11" w16cid:durableId="603347162">
    <w:abstractNumId w:val="17"/>
  </w:num>
  <w:num w:numId="12" w16cid:durableId="1783185629">
    <w:abstractNumId w:val="41"/>
  </w:num>
  <w:num w:numId="13" w16cid:durableId="1283994197">
    <w:abstractNumId w:val="35"/>
  </w:num>
  <w:num w:numId="14" w16cid:durableId="844128881">
    <w:abstractNumId w:val="0"/>
  </w:num>
  <w:num w:numId="15" w16cid:durableId="331841514">
    <w:abstractNumId w:val="38"/>
  </w:num>
  <w:num w:numId="16" w16cid:durableId="2095542841">
    <w:abstractNumId w:val="7"/>
  </w:num>
  <w:num w:numId="17" w16cid:durableId="1297417916">
    <w:abstractNumId w:val="25"/>
  </w:num>
  <w:num w:numId="18" w16cid:durableId="24916947">
    <w:abstractNumId w:val="13"/>
  </w:num>
  <w:num w:numId="19" w16cid:durableId="2041515526">
    <w:abstractNumId w:val="15"/>
  </w:num>
  <w:num w:numId="20" w16cid:durableId="1100099714">
    <w:abstractNumId w:val="2"/>
  </w:num>
  <w:num w:numId="21" w16cid:durableId="1309744465">
    <w:abstractNumId w:val="30"/>
  </w:num>
  <w:num w:numId="22" w16cid:durableId="249244189">
    <w:abstractNumId w:val="27"/>
  </w:num>
  <w:num w:numId="23" w16cid:durableId="1431392056">
    <w:abstractNumId w:val="5"/>
  </w:num>
  <w:num w:numId="24" w16cid:durableId="969897080">
    <w:abstractNumId w:val="22"/>
  </w:num>
  <w:num w:numId="25" w16cid:durableId="1285961592">
    <w:abstractNumId w:val="24"/>
  </w:num>
  <w:num w:numId="26" w16cid:durableId="1203325516">
    <w:abstractNumId w:val="12"/>
  </w:num>
  <w:num w:numId="27" w16cid:durableId="1161508254">
    <w:abstractNumId w:val="39"/>
  </w:num>
  <w:num w:numId="28" w16cid:durableId="1541281746">
    <w:abstractNumId w:val="6"/>
  </w:num>
  <w:num w:numId="29" w16cid:durableId="463042980">
    <w:abstractNumId w:val="11"/>
  </w:num>
  <w:num w:numId="30" w16cid:durableId="498270706">
    <w:abstractNumId w:val="37"/>
  </w:num>
  <w:num w:numId="31" w16cid:durableId="2137066660">
    <w:abstractNumId w:val="9"/>
  </w:num>
  <w:num w:numId="32" w16cid:durableId="169566196">
    <w:abstractNumId w:val="29"/>
  </w:num>
  <w:num w:numId="33" w16cid:durableId="681207515">
    <w:abstractNumId w:val="23"/>
  </w:num>
  <w:num w:numId="34" w16cid:durableId="969936876">
    <w:abstractNumId w:val="36"/>
  </w:num>
  <w:num w:numId="35" w16cid:durableId="124588530">
    <w:abstractNumId w:val="33"/>
  </w:num>
  <w:num w:numId="36" w16cid:durableId="1060207621">
    <w:abstractNumId w:val="20"/>
  </w:num>
  <w:num w:numId="37" w16cid:durableId="878321901">
    <w:abstractNumId w:val="19"/>
  </w:num>
  <w:num w:numId="38" w16cid:durableId="504513486">
    <w:abstractNumId w:val="40"/>
  </w:num>
  <w:num w:numId="39" w16cid:durableId="171995461">
    <w:abstractNumId w:val="3"/>
  </w:num>
  <w:num w:numId="40" w16cid:durableId="1391079245">
    <w:abstractNumId w:val="18"/>
  </w:num>
  <w:num w:numId="41" w16cid:durableId="114638821">
    <w:abstractNumId w:val="32"/>
  </w:num>
  <w:num w:numId="42" w16cid:durableId="5070161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3C4E"/>
    <w:rsid w:val="00026565"/>
    <w:rsid w:val="00033D82"/>
    <w:rsid w:val="00035519"/>
    <w:rsid w:val="00045F5D"/>
    <w:rsid w:val="00063FA4"/>
    <w:rsid w:val="00064E32"/>
    <w:rsid w:val="000740AA"/>
    <w:rsid w:val="000832E9"/>
    <w:rsid w:val="00092656"/>
    <w:rsid w:val="00095276"/>
    <w:rsid w:val="000A2398"/>
    <w:rsid w:val="000A3336"/>
    <w:rsid w:val="000C1DE8"/>
    <w:rsid w:val="000D3FDB"/>
    <w:rsid w:val="000D5688"/>
    <w:rsid w:val="000E6808"/>
    <w:rsid w:val="000F7601"/>
    <w:rsid w:val="00107EC2"/>
    <w:rsid w:val="001118C7"/>
    <w:rsid w:val="00121CF2"/>
    <w:rsid w:val="00126AE1"/>
    <w:rsid w:val="00137FC4"/>
    <w:rsid w:val="001411DD"/>
    <w:rsid w:val="00144B4E"/>
    <w:rsid w:val="00161350"/>
    <w:rsid w:val="001703C9"/>
    <w:rsid w:val="00176319"/>
    <w:rsid w:val="001814AD"/>
    <w:rsid w:val="00181AE5"/>
    <w:rsid w:val="00192511"/>
    <w:rsid w:val="00196165"/>
    <w:rsid w:val="001A072F"/>
    <w:rsid w:val="001A243F"/>
    <w:rsid w:val="001A5804"/>
    <w:rsid w:val="001B389D"/>
    <w:rsid w:val="001B6BA2"/>
    <w:rsid w:val="001C5CC8"/>
    <w:rsid w:val="001C631B"/>
    <w:rsid w:val="001E1CF1"/>
    <w:rsid w:val="001E4A1E"/>
    <w:rsid w:val="001F1723"/>
    <w:rsid w:val="001F43E3"/>
    <w:rsid w:val="00213B88"/>
    <w:rsid w:val="00235077"/>
    <w:rsid w:val="0023717D"/>
    <w:rsid w:val="00264437"/>
    <w:rsid w:val="00283F84"/>
    <w:rsid w:val="00290CD1"/>
    <w:rsid w:val="00294F7F"/>
    <w:rsid w:val="002A5C89"/>
    <w:rsid w:val="002B00BB"/>
    <w:rsid w:val="002B5E55"/>
    <w:rsid w:val="002D1445"/>
    <w:rsid w:val="002E5D48"/>
    <w:rsid w:val="002F5383"/>
    <w:rsid w:val="002F73D3"/>
    <w:rsid w:val="00302EEF"/>
    <w:rsid w:val="003040D2"/>
    <w:rsid w:val="003069D3"/>
    <w:rsid w:val="00312D6F"/>
    <w:rsid w:val="00317417"/>
    <w:rsid w:val="00317FB1"/>
    <w:rsid w:val="00324DFE"/>
    <w:rsid w:val="00325FA5"/>
    <w:rsid w:val="003304B7"/>
    <w:rsid w:val="00334628"/>
    <w:rsid w:val="003502CE"/>
    <w:rsid w:val="0035201C"/>
    <w:rsid w:val="00366BBB"/>
    <w:rsid w:val="003678AE"/>
    <w:rsid w:val="003853FC"/>
    <w:rsid w:val="00387879"/>
    <w:rsid w:val="003901D3"/>
    <w:rsid w:val="003A75A7"/>
    <w:rsid w:val="003A785C"/>
    <w:rsid w:val="003B16DD"/>
    <w:rsid w:val="003B2AC3"/>
    <w:rsid w:val="003C59C1"/>
    <w:rsid w:val="003D124F"/>
    <w:rsid w:val="003D2588"/>
    <w:rsid w:val="003D3220"/>
    <w:rsid w:val="00405DFE"/>
    <w:rsid w:val="00416DCC"/>
    <w:rsid w:val="00417080"/>
    <w:rsid w:val="00424C42"/>
    <w:rsid w:val="00436685"/>
    <w:rsid w:val="004373A1"/>
    <w:rsid w:val="00440C44"/>
    <w:rsid w:val="004416FB"/>
    <w:rsid w:val="0045251A"/>
    <w:rsid w:val="00464D64"/>
    <w:rsid w:val="00465266"/>
    <w:rsid w:val="004722F1"/>
    <w:rsid w:val="00473457"/>
    <w:rsid w:val="00487486"/>
    <w:rsid w:val="004A3760"/>
    <w:rsid w:val="004C0FD7"/>
    <w:rsid w:val="004D4368"/>
    <w:rsid w:val="004D46EC"/>
    <w:rsid w:val="004D53F9"/>
    <w:rsid w:val="004F05D2"/>
    <w:rsid w:val="004F6A88"/>
    <w:rsid w:val="004F7A20"/>
    <w:rsid w:val="004F7F3D"/>
    <w:rsid w:val="00500ACD"/>
    <w:rsid w:val="005262EE"/>
    <w:rsid w:val="00527A6F"/>
    <w:rsid w:val="00537933"/>
    <w:rsid w:val="005455D4"/>
    <w:rsid w:val="005644FB"/>
    <w:rsid w:val="00567BCF"/>
    <w:rsid w:val="00574E04"/>
    <w:rsid w:val="00577814"/>
    <w:rsid w:val="0058317E"/>
    <w:rsid w:val="00584D29"/>
    <w:rsid w:val="00594CC6"/>
    <w:rsid w:val="005B5C3D"/>
    <w:rsid w:val="005C1F12"/>
    <w:rsid w:val="005C21C1"/>
    <w:rsid w:val="005C21D9"/>
    <w:rsid w:val="005C6489"/>
    <w:rsid w:val="00603F7F"/>
    <w:rsid w:val="006129B1"/>
    <w:rsid w:val="00636CD8"/>
    <w:rsid w:val="00650E0E"/>
    <w:rsid w:val="00685845"/>
    <w:rsid w:val="00694010"/>
    <w:rsid w:val="006A16A8"/>
    <w:rsid w:val="006A4C00"/>
    <w:rsid w:val="006C080F"/>
    <w:rsid w:val="006C6A33"/>
    <w:rsid w:val="006E4506"/>
    <w:rsid w:val="00706285"/>
    <w:rsid w:val="00706F32"/>
    <w:rsid w:val="0073335F"/>
    <w:rsid w:val="0073379A"/>
    <w:rsid w:val="00735C0D"/>
    <w:rsid w:val="00745416"/>
    <w:rsid w:val="00746084"/>
    <w:rsid w:val="00751EBC"/>
    <w:rsid w:val="0075656A"/>
    <w:rsid w:val="00760838"/>
    <w:rsid w:val="007623B4"/>
    <w:rsid w:val="00762C65"/>
    <w:rsid w:val="00764559"/>
    <w:rsid w:val="00767A3F"/>
    <w:rsid w:val="007712E5"/>
    <w:rsid w:val="0077315C"/>
    <w:rsid w:val="00781214"/>
    <w:rsid w:val="00782945"/>
    <w:rsid w:val="007975ED"/>
    <w:rsid w:val="007A54E8"/>
    <w:rsid w:val="007A5CAC"/>
    <w:rsid w:val="007B4007"/>
    <w:rsid w:val="007C6150"/>
    <w:rsid w:val="007D752E"/>
    <w:rsid w:val="007D7551"/>
    <w:rsid w:val="007E16FF"/>
    <w:rsid w:val="007E1895"/>
    <w:rsid w:val="007E4B2D"/>
    <w:rsid w:val="007E5DEB"/>
    <w:rsid w:val="007E7571"/>
    <w:rsid w:val="007F4659"/>
    <w:rsid w:val="007F5598"/>
    <w:rsid w:val="007F7EFF"/>
    <w:rsid w:val="008046BA"/>
    <w:rsid w:val="00805845"/>
    <w:rsid w:val="00806633"/>
    <w:rsid w:val="00806A6D"/>
    <w:rsid w:val="00813C08"/>
    <w:rsid w:val="008203C3"/>
    <w:rsid w:val="00821510"/>
    <w:rsid w:val="00832B73"/>
    <w:rsid w:val="00840A7E"/>
    <w:rsid w:val="00844A66"/>
    <w:rsid w:val="008464AA"/>
    <w:rsid w:val="008656A7"/>
    <w:rsid w:val="008658E1"/>
    <w:rsid w:val="00867102"/>
    <w:rsid w:val="0087660F"/>
    <w:rsid w:val="00882CA2"/>
    <w:rsid w:val="0089440F"/>
    <w:rsid w:val="00894E8A"/>
    <w:rsid w:val="0089764D"/>
    <w:rsid w:val="008A7EAA"/>
    <w:rsid w:val="008B57CF"/>
    <w:rsid w:val="008C0517"/>
    <w:rsid w:val="008C119E"/>
    <w:rsid w:val="008C2281"/>
    <w:rsid w:val="008C45B3"/>
    <w:rsid w:val="008D0098"/>
    <w:rsid w:val="008E6CC6"/>
    <w:rsid w:val="008E7131"/>
    <w:rsid w:val="008F1243"/>
    <w:rsid w:val="00900878"/>
    <w:rsid w:val="00900A95"/>
    <w:rsid w:val="00901FB6"/>
    <w:rsid w:val="009412D1"/>
    <w:rsid w:val="00946BE7"/>
    <w:rsid w:val="00947EB3"/>
    <w:rsid w:val="009502D1"/>
    <w:rsid w:val="00950AAA"/>
    <w:rsid w:val="009645E1"/>
    <w:rsid w:val="009677B8"/>
    <w:rsid w:val="00972D06"/>
    <w:rsid w:val="0099458D"/>
    <w:rsid w:val="009977D8"/>
    <w:rsid w:val="009B24D3"/>
    <w:rsid w:val="009B5FA6"/>
    <w:rsid w:val="009B7674"/>
    <w:rsid w:val="009D0118"/>
    <w:rsid w:val="009D146B"/>
    <w:rsid w:val="009E07A1"/>
    <w:rsid w:val="009E1D54"/>
    <w:rsid w:val="009E2598"/>
    <w:rsid w:val="009F1BC7"/>
    <w:rsid w:val="009F75ED"/>
    <w:rsid w:val="00A105BB"/>
    <w:rsid w:val="00A1280B"/>
    <w:rsid w:val="00A14C31"/>
    <w:rsid w:val="00A36C7A"/>
    <w:rsid w:val="00A40FC3"/>
    <w:rsid w:val="00A5093D"/>
    <w:rsid w:val="00A52EAA"/>
    <w:rsid w:val="00A61258"/>
    <w:rsid w:val="00A61780"/>
    <w:rsid w:val="00A75C5A"/>
    <w:rsid w:val="00A90B48"/>
    <w:rsid w:val="00A95F3D"/>
    <w:rsid w:val="00AA297D"/>
    <w:rsid w:val="00AB122B"/>
    <w:rsid w:val="00AB5707"/>
    <w:rsid w:val="00AC210C"/>
    <w:rsid w:val="00AD6871"/>
    <w:rsid w:val="00AE200E"/>
    <w:rsid w:val="00AE5F8A"/>
    <w:rsid w:val="00AF1E32"/>
    <w:rsid w:val="00B11604"/>
    <w:rsid w:val="00B13BC1"/>
    <w:rsid w:val="00B32E28"/>
    <w:rsid w:val="00B44775"/>
    <w:rsid w:val="00B74D28"/>
    <w:rsid w:val="00B8208D"/>
    <w:rsid w:val="00B83662"/>
    <w:rsid w:val="00B84BE8"/>
    <w:rsid w:val="00BA1C30"/>
    <w:rsid w:val="00BC38C6"/>
    <w:rsid w:val="00BC3E2D"/>
    <w:rsid w:val="00BF789E"/>
    <w:rsid w:val="00C11AC4"/>
    <w:rsid w:val="00C15A0C"/>
    <w:rsid w:val="00C274F6"/>
    <w:rsid w:val="00C44351"/>
    <w:rsid w:val="00C44355"/>
    <w:rsid w:val="00C45DAC"/>
    <w:rsid w:val="00C60821"/>
    <w:rsid w:val="00C73A3D"/>
    <w:rsid w:val="00C83E2C"/>
    <w:rsid w:val="00C86D45"/>
    <w:rsid w:val="00C966B4"/>
    <w:rsid w:val="00CA0C4A"/>
    <w:rsid w:val="00CA5DE2"/>
    <w:rsid w:val="00CB07CF"/>
    <w:rsid w:val="00CB47EF"/>
    <w:rsid w:val="00CE56F8"/>
    <w:rsid w:val="00CE5AEA"/>
    <w:rsid w:val="00D02E4C"/>
    <w:rsid w:val="00D049D5"/>
    <w:rsid w:val="00D05113"/>
    <w:rsid w:val="00D23373"/>
    <w:rsid w:val="00D25400"/>
    <w:rsid w:val="00D54AAB"/>
    <w:rsid w:val="00D60686"/>
    <w:rsid w:val="00D641E6"/>
    <w:rsid w:val="00D731FD"/>
    <w:rsid w:val="00D75D7B"/>
    <w:rsid w:val="00D76C22"/>
    <w:rsid w:val="00D80269"/>
    <w:rsid w:val="00D840CF"/>
    <w:rsid w:val="00D868D2"/>
    <w:rsid w:val="00D90B19"/>
    <w:rsid w:val="00D920D0"/>
    <w:rsid w:val="00DA03EA"/>
    <w:rsid w:val="00DA5DAD"/>
    <w:rsid w:val="00DB0BE2"/>
    <w:rsid w:val="00DB268B"/>
    <w:rsid w:val="00DB4C0B"/>
    <w:rsid w:val="00DB5BE5"/>
    <w:rsid w:val="00DC0296"/>
    <w:rsid w:val="00DC4D5A"/>
    <w:rsid w:val="00DC684D"/>
    <w:rsid w:val="00DC75A1"/>
    <w:rsid w:val="00DD42BB"/>
    <w:rsid w:val="00DD697F"/>
    <w:rsid w:val="00DD6F74"/>
    <w:rsid w:val="00DE58E1"/>
    <w:rsid w:val="00DF5BD1"/>
    <w:rsid w:val="00E071FF"/>
    <w:rsid w:val="00E07290"/>
    <w:rsid w:val="00E12D1B"/>
    <w:rsid w:val="00E5454A"/>
    <w:rsid w:val="00E72D49"/>
    <w:rsid w:val="00E8151A"/>
    <w:rsid w:val="00E86AFE"/>
    <w:rsid w:val="00E87346"/>
    <w:rsid w:val="00EA30A4"/>
    <w:rsid w:val="00EA737C"/>
    <w:rsid w:val="00EB12D8"/>
    <w:rsid w:val="00EB312A"/>
    <w:rsid w:val="00EC6F3C"/>
    <w:rsid w:val="00ED3DA5"/>
    <w:rsid w:val="00EE06AD"/>
    <w:rsid w:val="00EE397D"/>
    <w:rsid w:val="00EF2584"/>
    <w:rsid w:val="00EF424B"/>
    <w:rsid w:val="00F02211"/>
    <w:rsid w:val="00F11B18"/>
    <w:rsid w:val="00F14475"/>
    <w:rsid w:val="00F1759A"/>
    <w:rsid w:val="00F20E1F"/>
    <w:rsid w:val="00F21A19"/>
    <w:rsid w:val="00F21AF0"/>
    <w:rsid w:val="00F26B7F"/>
    <w:rsid w:val="00F27EE8"/>
    <w:rsid w:val="00F34154"/>
    <w:rsid w:val="00F43064"/>
    <w:rsid w:val="00F50292"/>
    <w:rsid w:val="00F5153E"/>
    <w:rsid w:val="00F528E8"/>
    <w:rsid w:val="00F54131"/>
    <w:rsid w:val="00F54333"/>
    <w:rsid w:val="00F560D2"/>
    <w:rsid w:val="00F64C5E"/>
    <w:rsid w:val="00FA0558"/>
    <w:rsid w:val="00FB4C6B"/>
    <w:rsid w:val="00FB5730"/>
    <w:rsid w:val="00FB6FC4"/>
    <w:rsid w:val="00FC08B7"/>
    <w:rsid w:val="00FC4809"/>
    <w:rsid w:val="00FD7647"/>
    <w:rsid w:val="00FE253E"/>
    <w:rsid w:val="00FE4204"/>
    <w:rsid w:val="00FE5842"/>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 w:type="character" w:styleId="Hyperlink">
    <w:name w:val="Hyperlink"/>
    <w:basedOn w:val="DefaultParagraphFont"/>
    <w:uiPriority w:val="99"/>
    <w:unhideWhenUsed/>
    <w:rsid w:val="00E72D49"/>
    <w:rPr>
      <w:color w:val="0563C1" w:themeColor="hyperlink"/>
      <w:u w:val="single"/>
    </w:rPr>
  </w:style>
  <w:style w:type="character" w:styleId="UnresolvedMention">
    <w:name w:val="Unresolved Mention"/>
    <w:basedOn w:val="DefaultParagraphFont"/>
    <w:uiPriority w:val="99"/>
    <w:semiHidden/>
    <w:unhideWhenUsed/>
    <w:rsid w:val="00E72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lius.net/News/OtherResources.aspx?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EF251A-0ECA-4081-839D-2BD2695408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5F7546-EF16-405A-9302-0849E8635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FE84A-8461-47F8-A689-C47898E47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5003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2022-05-25T20:34:00Z</dcterms:created>
  <dcterms:modified xsi:type="dcterms:W3CDTF">2022-05-25T20:34:00Z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